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center"/>
        <w:rPr>
          <w:rFonts w:ascii="Times New Roman" w:eastAsia="宋体" w:cs="Times New Roman"/>
          <w:b/>
          <w:bCs/>
          <w:sz w:val="84"/>
          <w:szCs w:val="84"/>
        </w:rPr>
      </w:pPr>
      <w:r/>
      <w:bookmarkStart w:id="0" w:name="_Toc390098840"/>
      <w:r/>
      <w:bookmarkStart w:id="1" w:name="_Toc383698647"/>
      <w:r/>
      <w:bookmarkStart w:id="2" w:name="_Toc383679746"/>
      <w:r/>
      <w:bookmarkStart w:id="3" w:name="_Toc383623944"/>
      <w:r/>
      <w:bookmarkStart w:id="4" w:name="_Toc383623672"/>
      <w:r/>
      <w:bookmarkStart w:id="5" w:name="_Toc383587456"/>
      <w:r/>
      <w:bookmarkStart w:id="6" w:name="_Toc426469868"/>
      <w:r/>
      <w:bookmarkStart w:id="7" w:name="_Toc390099018"/>
      <w:r/>
      <w:bookmarkStart w:id="8" w:name="_Toc390246905"/>
      <w:r/>
      <w:bookmarkStart w:id="9" w:name="_Toc383625993"/>
      <w:r/>
      <w:r/>
    </w:p>
    <w:p>
      <w:pPr>
        <w:pStyle w:val="708"/>
        <w:jc w:val="center"/>
        <w:rPr>
          <w:rFonts w:ascii="Times New Roman" w:eastAsia="宋体" w:cs="Times New Roman"/>
          <w:b/>
          <w:bCs/>
          <w:sz w:val="84"/>
          <w:szCs w:val="84"/>
        </w:rPr>
      </w:pPr>
      <w:r>
        <w:rPr>
          <w:rFonts w:ascii="Times New Roman" w:eastAsia="宋体" w:cs="Times New Roman"/>
          <w:b/>
          <w:bCs/>
          <w:sz w:val="84"/>
          <w:szCs w:val="84"/>
        </w:rPr>
      </w:r>
      <w:r/>
    </w:p>
    <w:p>
      <w:pPr>
        <w:pStyle w:val="708"/>
        <w:jc w:val="center"/>
        <w:rPr>
          <w:rFonts w:ascii="Times New Roman" w:eastAsia="宋体" w:cs="Times New Roman"/>
          <w:b/>
          <w:bCs/>
          <w:sz w:val="84"/>
          <w:szCs w:val="84"/>
        </w:rPr>
      </w:pPr>
      <w:r>
        <w:rPr>
          <w:rFonts w:ascii="Times New Roman" w:eastAsia="宋体" w:cs="Times New Roman"/>
          <w:b/>
          <w:bCs/>
          <w:sz w:val="84"/>
          <w:szCs w:val="84"/>
        </w:rPr>
      </w:r>
      <w:r/>
    </w:p>
    <w:p>
      <w:pPr>
        <w:pStyle w:val="708"/>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708"/>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08"/>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08"/>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169" w:hanging="2169"/>
        <w:rPr>
          <w:b/>
          <w:bCs/>
          <w:sz w:val="44"/>
          <w:szCs w:val="44"/>
        </w:rPr>
      </w:pPr>
      <w:r>
        <w:rPr>
          <w:b/>
          <w:bCs/>
          <w:sz w:val="44"/>
          <w:szCs w:val="44"/>
        </w:rPr>
        <w:t xml:space="preserve">项目名称：</w:t>
      </w:r>
      <w:r>
        <w:rPr>
          <w:rFonts w:hint="eastAsia"/>
          <w:b/>
          <w:bCs/>
          <w:sz w:val="44"/>
          <w:szCs w:val="44"/>
        </w:rPr>
        <w:t xml:space="preserve">泰兴市</w:t>
      </w:r>
      <w:r>
        <w:rPr>
          <w:rFonts w:hint="eastAsia" w:ascii="宋体" w:hAnsi="宋体" w:eastAsia="宋体" w:cs="宋体"/>
          <w:b/>
          <w:bCs/>
          <w:sz w:val="44"/>
          <w:szCs w:val="44"/>
          <w:highlight w:val="none"/>
        </w:rPr>
        <w:t xml:space="preserve">202</w:t>
      </w:r>
      <w:r>
        <w:rPr>
          <w:rFonts w:hint="eastAsia" w:ascii="宋体" w:hAnsi="宋体" w:cs="宋体"/>
          <w:b/>
          <w:bCs/>
          <w:sz w:val="44"/>
          <w:szCs w:val="44"/>
          <w:highlight w:val="none"/>
          <w:lang w:val="en-US" w:eastAsia="zh-CN"/>
        </w:rPr>
        <w:t xml:space="preserve">6</w:t>
      </w:r>
      <w:r>
        <w:rPr>
          <w:b/>
          <w:bCs/>
          <w:sz w:val="44"/>
          <w:szCs w:val="44"/>
          <w:highlight w:val="none"/>
        </w:rPr>
        <w:t xml:space="preserve">年</w:t>
      </w:r>
      <w:r>
        <w:rPr>
          <w:b/>
          <w:bCs/>
          <w:sz w:val="44"/>
          <w:szCs w:val="44"/>
        </w:rPr>
        <w:t xml:space="preserve">度建设用地</w:t>
      </w:r>
      <w:r>
        <w:rPr>
          <w:rFonts w:hint="eastAsia"/>
          <w:b/>
          <w:bCs/>
          <w:sz w:val="44"/>
          <w:szCs w:val="44"/>
        </w:rPr>
        <w:t xml:space="preserve">涉林</w:t>
      </w:r>
      <w:r>
        <w:rPr>
          <w:b/>
          <w:bCs/>
          <w:sz w:val="44"/>
          <w:szCs w:val="44"/>
        </w:rPr>
        <w:t xml:space="preserve">报批服务项目</w:t>
      </w:r>
      <w:r/>
    </w:p>
    <w:p>
      <w:pPr>
        <w:widowControl/>
        <w:rPr>
          <w:rFonts w:hint="default" w:eastAsia="宋体"/>
          <w:sz w:val="44"/>
          <w:szCs w:val="44"/>
          <w:lang w:val="en-US" w:eastAsia="zh-CN"/>
        </w:rPr>
      </w:pPr>
      <w:r>
        <w:rPr>
          <w:b/>
          <w:bCs/>
          <w:sz w:val="44"/>
          <w:szCs w:val="44"/>
        </w:rPr>
        <w:t xml:space="preserve">项目编号：</w:t>
      </w:r>
      <w:r>
        <w:rPr>
          <w:rFonts w:hint="eastAsia" w:ascii="宋体" w:hAnsi="宋体" w:eastAsia="宋体" w:cs="宋体"/>
          <w:b/>
          <w:bCs/>
          <w:sz w:val="44"/>
          <w:szCs w:val="44"/>
        </w:rPr>
        <w:t xml:space="preserve">JSZC-321283-JZCG-G202</w:t>
      </w:r>
      <w:r>
        <w:rPr>
          <w:rFonts w:hint="eastAsia" w:ascii="宋体" w:hAnsi="宋体" w:eastAsia="宋体" w:cs="宋体"/>
          <w:b/>
          <w:bCs/>
          <w:sz w:val="44"/>
          <w:szCs w:val="44"/>
          <w:lang w:val="en-US" w:eastAsia="zh-CN"/>
        </w:rPr>
        <w:t xml:space="preserve">6</w:t>
      </w:r>
      <w:r>
        <w:rPr>
          <w:rFonts w:hint="eastAsia" w:ascii="宋体" w:hAnsi="宋体" w:eastAsia="宋体" w:cs="宋体"/>
          <w:b/>
          <w:bCs/>
          <w:sz w:val="44"/>
          <w:szCs w:val="44"/>
        </w:rPr>
        <w:t xml:space="preserve">-00</w:t>
      </w:r>
      <w:r>
        <w:rPr>
          <w:rFonts w:hint="eastAsia" w:ascii="宋体" w:hAnsi="宋体" w:eastAsia="宋体" w:cs="宋体"/>
          <w:b/>
          <w:bCs/>
          <w:sz w:val="44"/>
          <w:szCs w:val="44"/>
          <w:lang w:val="en-US" w:eastAsia="zh-CN"/>
        </w:rPr>
        <w:t xml:space="preserve">01</w:t>
      </w:r>
      <w:r/>
    </w:p>
    <w:p>
      <w:pPr>
        <w:pStyle w:val="708"/>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8"/>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8"/>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8"/>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8"/>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8"/>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8"/>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8"/>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8"/>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ind w:firstLine="2530"/>
        <w:spacing w:line="360" w:lineRule="auto"/>
        <w:rPr>
          <w:rFonts w:eastAsia="楷体"/>
          <w:b/>
          <w:sz w:val="36"/>
          <w:szCs w:val="36"/>
        </w:rPr>
      </w:pPr>
      <w:r>
        <w:rPr>
          <w:rFonts w:hint="eastAsia" w:eastAsia="楷体"/>
          <w:b/>
          <w:sz w:val="36"/>
          <w:szCs w:val="36"/>
        </w:rPr>
        <w:t xml:space="preserve">泰兴市自然资源和规划局</w:t>
      </w:r>
      <w:r/>
    </w:p>
    <w:p>
      <w:pPr>
        <w:jc w:val="center"/>
        <w:spacing w:line="360" w:lineRule="auto"/>
        <w:rPr>
          <w:rFonts w:eastAsia="楷体"/>
          <w:b/>
          <w:sz w:val="36"/>
          <w:szCs w:val="36"/>
          <w:highlight w:val="none"/>
        </w:rPr>
      </w:pPr>
      <w:r>
        <w:rPr>
          <w:rFonts w:eastAsia="楷体"/>
          <w:b/>
          <w:sz w:val="36"/>
          <w:szCs w:val="36"/>
          <w:highlight w:val="none"/>
        </w:rPr>
        <w:t xml:space="preserve">二〇二</w:t>
      </w:r>
      <w:r>
        <w:rPr>
          <w:rFonts w:hint="eastAsia" w:eastAsia="楷体"/>
          <w:b/>
          <w:sz w:val="36"/>
          <w:szCs w:val="36"/>
          <w:highlight w:val="none"/>
          <w:lang w:val="en-US" w:eastAsia="zh-CN"/>
        </w:rPr>
        <w:t xml:space="preserve">六</w:t>
      </w:r>
      <w:r>
        <w:rPr>
          <w:rFonts w:eastAsia="楷体"/>
          <w:b/>
          <w:sz w:val="36"/>
          <w:szCs w:val="36"/>
          <w:highlight w:val="none"/>
        </w:rPr>
        <w:t xml:space="preserve">年</w:t>
      </w:r>
      <w:r>
        <w:rPr>
          <w:rFonts w:hint="eastAsia" w:eastAsia="楷体"/>
          <w:b/>
          <w:sz w:val="36"/>
          <w:szCs w:val="36"/>
          <w:highlight w:val="none"/>
          <w:lang w:val="en-US" w:eastAsia="zh-CN"/>
        </w:rPr>
        <w:t xml:space="preserve">一</w:t>
      </w:r>
      <w:r>
        <w:rPr>
          <w:rFonts w:eastAsia="楷体"/>
          <w:b/>
          <w:sz w:val="36"/>
          <w:szCs w:val="36"/>
          <w:highlight w:val="none"/>
        </w:rPr>
        <w:t xml:space="preserve">月</w:t>
      </w:r>
      <w:r/>
    </w:p>
    <w:p>
      <w:pPr>
        <w:pStyle w:val="650"/>
      </w:pPr>
      <w:r/>
      <w:r/>
    </w:p>
    <w:p>
      <w:pPr>
        <w:pStyle w:val="665"/>
        <w:ind w:left="0" w:firstLine="0"/>
        <w:jc w:val="center"/>
        <w:spacing w:line="500" w:lineRule="exact"/>
        <w:tabs>
          <w:tab w:val="left" w:pos="3240" w:leader="none"/>
        </w:tabs>
        <w:rPr>
          <w:rFonts w:ascii="黑体" w:hAnsi="黑体" w:eastAsia="黑体"/>
          <w:b/>
          <w:color w:val="auto"/>
        </w:rPr>
        <w:outlineLvl w:val="0"/>
      </w:pPr>
      <w:r>
        <w:rPr>
          <w:rFonts w:hint="eastAsia" w:ascii="黑体" w:hAnsi="黑体" w:eastAsia="黑体"/>
          <w:b/>
          <w:color w:val="auto"/>
        </w:rPr>
        <w:t xml:space="preserve">第一章</w:t>
      </w:r>
      <w:r>
        <w:rPr>
          <w:rFonts w:ascii="黑体" w:hAnsi="黑体" w:eastAsia="黑体"/>
          <w:b/>
          <w:color w:val="auto"/>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rPr>
        <w:t xml:space="preserve">  招标公告</w:t>
      </w:r>
      <w:r/>
    </w:p>
    <w:p>
      <w:pPr>
        <w:spacing w:line="44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40" w:lineRule="exact"/>
        <w:rPr>
          <w:rFonts w:ascii="宋体"/>
          <w:sz w:val="28"/>
          <w:szCs w:val="28"/>
        </w:rPr>
        <w:pBdr>
          <w:top w:val="single" w:color="auto" w:sz="4" w:space="1"/>
          <w:left w:val="single" w:color="auto" w:sz="4" w:space="4"/>
          <w:bottom w:val="single" w:color="auto" w:sz="4" w:space="1"/>
          <w:right w:val="single" w:color="auto" w:sz="4" w:space="4"/>
        </w:pBdr>
      </w:pPr>
      <w:r/>
      <w:bookmarkStart w:id="10" w:name="_Toc35393790"/>
      <w:r/>
      <w:bookmarkStart w:id="11" w:name="_Toc28359079"/>
      <w:r/>
      <w:bookmarkStart w:id="12" w:name="_Toc35393621"/>
      <w:r/>
      <w:bookmarkStart w:id="13" w:name="_Toc28359002"/>
      <w:r/>
      <w:bookmarkStart w:id="14" w:name="_Hlk24379207"/>
      <w:r>
        <w:rPr>
          <w:rFonts w:hint="eastAsia" w:ascii="宋体" w:hAnsi="宋体"/>
          <w:sz w:val="28"/>
          <w:szCs w:val="28"/>
          <w:u w:val="single"/>
        </w:rPr>
        <w:t xml:space="preserve">泰兴</w:t>
      </w:r>
      <w:r>
        <w:rPr>
          <w:rFonts w:hint="eastAsia" w:ascii="宋体" w:hAnsi="宋体"/>
          <w:sz w:val="28"/>
          <w:szCs w:val="28"/>
          <w:highlight w:val="none"/>
          <w:u w:val="single"/>
        </w:rPr>
        <w:t xml:space="preserve">市202</w:t>
      </w:r>
      <w:r>
        <w:rPr>
          <w:rFonts w:hint="eastAsia" w:ascii="宋体" w:hAnsi="宋体"/>
          <w:sz w:val="28"/>
          <w:szCs w:val="28"/>
          <w:highlight w:val="none"/>
          <w:u w:val="single"/>
          <w:lang w:val="en-US" w:eastAsia="zh-CN"/>
        </w:rPr>
        <w:t xml:space="preserve">6</w:t>
      </w:r>
      <w:r>
        <w:rPr>
          <w:rFonts w:hint="eastAsia" w:ascii="宋体" w:hAnsi="宋体"/>
          <w:sz w:val="28"/>
          <w:szCs w:val="28"/>
          <w:u w:val="single"/>
        </w:rPr>
        <w:t xml:space="preserve">年度建设用地涉林报批服务项目JSZC-321283-JZCG-G202</w:t>
      </w:r>
      <w:r>
        <w:rPr>
          <w:rFonts w:hint="eastAsia" w:ascii="宋体" w:hAnsi="宋体"/>
          <w:sz w:val="28"/>
          <w:szCs w:val="28"/>
          <w:u w:val="single"/>
          <w:lang w:val="en-US" w:eastAsia="zh-CN"/>
        </w:rPr>
        <w:t xml:space="preserve">6</w:t>
      </w:r>
      <w:r>
        <w:rPr>
          <w:rFonts w:hint="eastAsia" w:ascii="宋体" w:hAnsi="宋体"/>
          <w:sz w:val="28"/>
          <w:szCs w:val="28"/>
          <w:u w:val="single"/>
        </w:rPr>
        <w:t xml:space="preserve">-00</w:t>
      </w:r>
      <w:r>
        <w:rPr>
          <w:rFonts w:hint="eastAsia" w:ascii="宋体" w:hAnsi="宋体"/>
          <w:sz w:val="28"/>
          <w:szCs w:val="28"/>
          <w:u w:val="single"/>
          <w:lang w:val="en-US" w:eastAsia="zh-CN"/>
        </w:rPr>
        <w:t xml:space="preserve">01</w:t>
      </w:r>
      <w:r>
        <w:rPr>
          <w:rFonts w:hint="eastAsia" w:ascii="宋体" w:hAnsi="宋体"/>
          <w:sz w:val="28"/>
          <w:szCs w:val="28"/>
        </w:rPr>
        <w:t xml:space="preserve">招标项目的潜在投标人应在苏采云获取招标文件，并于</w:t>
      </w:r>
      <w:r>
        <w:rPr>
          <w:rFonts w:hint="eastAsia" w:ascii="宋体" w:hAnsi="宋体"/>
          <w:sz w:val="28"/>
          <w:szCs w:val="28"/>
          <w:highlight w:val="none"/>
        </w:rPr>
        <w:t xml:space="preserve">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02</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27 </w:t>
      </w:r>
      <w:r>
        <w:rPr>
          <w:rFonts w:hint="eastAsia" w:ascii="宋体" w:hAnsi="宋体"/>
          <w:sz w:val="28"/>
          <w:szCs w:val="28"/>
          <w:highlight w:val="none"/>
        </w:rPr>
        <w:t xml:space="preserve"> 0</w:t>
      </w:r>
      <w:r>
        <w:rPr>
          <w:rFonts w:hint="eastAsia" w:ascii="宋体" w:hAnsi="宋体"/>
          <w:sz w:val="28"/>
          <w:szCs w:val="28"/>
          <w:highlight w:val="none"/>
          <w:lang w:val="en-US" w:eastAsia="zh-CN"/>
        </w:rPr>
        <w:t xml:space="preserve">9</w:t>
      </w:r>
      <w:r>
        <w:rPr>
          <w:rFonts w:hint="eastAsia" w:ascii="宋体" w:hAnsi="宋体"/>
          <w:sz w:val="28"/>
          <w:szCs w:val="28"/>
          <w:highlight w:val="none"/>
        </w:rPr>
        <w:t xml:space="preserve">:00</w:t>
      </w:r>
      <w:r>
        <w:rPr>
          <w:rFonts w:hint="eastAsia" w:ascii="宋体" w:hAnsi="宋体"/>
          <w:sz w:val="28"/>
          <w:szCs w:val="28"/>
        </w:rPr>
        <w:t xml:space="preserve">（北京时间）前递交投标文件。</w:t>
      </w:r>
      <w:r/>
    </w:p>
    <w:p>
      <w:pPr>
        <w:ind w:firstLine="643"/>
        <w:keepLines w:val="0"/>
        <w:keepNext w:val="0"/>
        <w:pageBreakBefore w:val="0"/>
        <w:spacing w:line="440" w:lineRule="exact"/>
        <w:widowControl w:val="off"/>
        <w:rPr>
          <w:rFonts w:ascii="Arial" w:hAnsi="Arial" w:eastAsia="Arial"/>
          <w:b/>
          <w:sz w:val="32"/>
          <w:szCs w:val="32"/>
        </w:rPr>
      </w:pPr>
      <w:r>
        <w:rPr>
          <w:rFonts w:hint="eastAsia" w:ascii="Arial" w:hAnsi="Arial" w:eastAsia="Arial"/>
          <w:b/>
          <w:sz w:val="32"/>
          <w:szCs w:val="32"/>
        </w:rPr>
        <w:t xml:space="preserve">一、项目基本情况</w:t>
      </w:r>
      <w:bookmarkEnd w:id="10"/>
      <w:r/>
      <w:bookmarkEnd w:id="11"/>
      <w:r/>
      <w:bookmarkEnd w:id="12"/>
      <w:r/>
      <w:bookmarkEnd w:id="13"/>
      <w:r/>
      <w:r/>
    </w:p>
    <w:p>
      <w:pPr>
        <w:ind w:firstLine="56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项目编号：JSZC-321283-JZCG-G202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01</w:t>
      </w:r>
      <w:r/>
    </w:p>
    <w:p>
      <w:pPr>
        <w:ind w:firstLine="560"/>
        <w:keepLines w:val="0"/>
        <w:keepNext w:val="0"/>
        <w:pageBreakBefore w:val="0"/>
        <w:spacing w:line="440" w:lineRule="exact"/>
        <w:widowControl w:val="off"/>
        <w:rPr>
          <w:rFonts w:hint="eastAsia" w:ascii="宋体" w:hAnsi="宋体" w:eastAsia="宋体" w:cs="宋体"/>
          <w:bCs/>
          <w:sz w:val="32"/>
          <w:szCs w:val="32"/>
          <w:highlight w:val="none"/>
        </w:rPr>
      </w:pPr>
      <w:r>
        <w:rPr>
          <w:rFonts w:hint="eastAsia" w:ascii="宋体" w:hAnsi="宋体" w:eastAsia="宋体" w:cs="宋体"/>
          <w:sz w:val="28"/>
          <w:szCs w:val="28"/>
        </w:rPr>
        <w:t xml:space="preserve">项目名称：</w:t>
      </w:r>
      <w:bookmarkEnd w:id="14"/>
      <w:r>
        <w:rPr>
          <w:rFonts w:hint="eastAsia" w:ascii="宋体" w:hAnsi="宋体" w:eastAsia="宋体" w:cs="宋体"/>
          <w:sz w:val="28"/>
          <w:szCs w:val="28"/>
        </w:rPr>
        <w:t xml:space="preserve">泰兴市</w:t>
      </w:r>
      <w:r>
        <w:rPr>
          <w:rFonts w:hint="eastAsia" w:ascii="宋体" w:hAnsi="宋体" w:eastAsia="宋体" w:cs="宋体"/>
          <w:sz w:val="28"/>
          <w:szCs w:val="28"/>
          <w:highlight w:val="none"/>
        </w:rPr>
        <w:t xml:space="preserve">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年度建设用地</w:t>
      </w:r>
      <w:r>
        <w:rPr>
          <w:rFonts w:hint="eastAsia" w:ascii="宋体" w:hAnsi="宋体" w:eastAsia="宋体" w:cs="宋体"/>
          <w:sz w:val="28"/>
          <w:szCs w:val="28"/>
          <w:highlight w:val="none"/>
          <w:lang w:val="en-US" w:eastAsia="zh-CN"/>
        </w:rPr>
        <w:t xml:space="preserve">涉林</w:t>
      </w:r>
      <w:r>
        <w:rPr>
          <w:rFonts w:hint="eastAsia" w:ascii="宋体" w:hAnsi="宋体" w:eastAsia="宋体" w:cs="宋体"/>
          <w:sz w:val="28"/>
          <w:szCs w:val="28"/>
          <w:highlight w:val="none"/>
        </w:rPr>
        <w:t xml:space="preserve">报批服务项目</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预算金额：</w:t>
      </w:r>
      <w:r>
        <w:rPr>
          <w:rFonts w:hint="eastAsia" w:ascii="宋体" w:hAnsi="宋体" w:eastAsia="宋体" w:cs="宋体"/>
          <w:sz w:val="28"/>
          <w:szCs w:val="28"/>
          <w:highlight w:val="none"/>
          <w:lang w:val="en-US" w:eastAsia="zh-CN"/>
        </w:rPr>
        <w:t xml:space="preserve">158</w:t>
      </w:r>
      <w:r>
        <w:rPr>
          <w:rFonts w:hint="eastAsia" w:ascii="宋体" w:hAnsi="宋体" w:eastAsia="宋体" w:cs="宋体"/>
          <w:sz w:val="28"/>
          <w:szCs w:val="28"/>
          <w:highlight w:val="none"/>
        </w:rPr>
        <w:t xml:space="preserve">万元。</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highlight w:val="none"/>
        </w:rPr>
        <w:t xml:space="preserve">最高限价（如有）：1</w:t>
      </w:r>
      <w:r>
        <w:rPr>
          <w:rFonts w:hint="eastAsia" w:ascii="宋体" w:hAnsi="宋体" w:eastAsia="宋体" w:cs="宋体"/>
          <w:sz w:val="28"/>
          <w:szCs w:val="28"/>
          <w:highlight w:val="none"/>
          <w:lang w:val="en-US" w:eastAsia="zh-CN"/>
        </w:rPr>
        <w:t xml:space="preserve">58</w:t>
      </w:r>
      <w:r>
        <w:rPr>
          <w:rFonts w:hint="eastAsia" w:ascii="宋体" w:hAnsi="宋体" w:eastAsia="宋体" w:cs="宋体"/>
          <w:sz w:val="28"/>
          <w:szCs w:val="28"/>
          <w:highlight w:val="none"/>
        </w:rPr>
        <w:t xml:space="preserve">万元</w:t>
      </w:r>
      <w:r>
        <w:rPr>
          <w:rFonts w:hint="eastAsia" w:ascii="宋体" w:hAnsi="宋体" w:eastAsia="宋体" w:cs="宋体"/>
          <w:sz w:val="28"/>
          <w:szCs w:val="28"/>
        </w:rPr>
        <w:t xml:space="preserve">。</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采购需求：</w:t>
      </w:r>
      <w:r/>
    </w:p>
    <w:p>
      <w:pPr>
        <w:ind w:firstLine="560"/>
        <w:jc w:val="center"/>
        <w:keepLines w:val="0"/>
        <w:keepNext w:val="0"/>
        <w:pageBreakBefore w:val="0"/>
        <w:spacing w:line="440" w:lineRule="exact"/>
        <w:widowControl w:val="off"/>
        <w:rPr>
          <w:rFonts w:hint="eastAsia" w:ascii="Arial" w:hAnsi="Arial" w:eastAsia="Arial"/>
          <w:b/>
          <w:bCs/>
          <w:sz w:val="28"/>
          <w:szCs w:val="28"/>
        </w:rPr>
      </w:pPr>
      <w:r>
        <w:rPr>
          <w:rFonts w:hint="eastAsia" w:ascii="宋体" w:hAnsi="宋体" w:eastAsia="宋体" w:cs="宋体"/>
          <w:b/>
          <w:bCs/>
          <w:i w:val="0"/>
          <w:iCs w:val="0"/>
          <w:color w:val="000000"/>
          <w:sz w:val="28"/>
          <w:szCs w:val="28"/>
          <w:u w:val="none"/>
          <w:lang w:val="en-US" w:eastAsia="zh-CN"/>
        </w:rPr>
        <w:t xml:space="preserve">建设用地涉林报批明细表</w:t>
      </w:r>
      <w:r/>
    </w:p>
    <w:tbl>
      <w:tblPr>
        <w:tblStyle w:val="672"/>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609"/>
        <w:gridCol w:w="845"/>
        <w:gridCol w:w="3723"/>
        <w:gridCol w:w="2154"/>
      </w:tblGrid>
      <w:tr>
        <w:trPr>
          <w:jc w:val="center"/>
          <w:trHeight w:val="372"/>
        </w:trPr>
        <w:tc>
          <w:tcPr>
            <w:tcW w:w="628"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b/>
                <w:bCs/>
                <w:i w:val="0"/>
                <w:iCs w:val="0"/>
                <w:color w:val="000000"/>
                <w:sz w:val="20"/>
                <w:szCs w:val="20"/>
                <w:u w:val="none"/>
                <w:lang w:val="en-US" w:eastAsia="zh-CN"/>
              </w:rPr>
              <w:t xml:space="preserve">序号</w:t>
            </w:r>
            <w:r/>
          </w:p>
        </w:tc>
        <w:tc>
          <w:tcPr>
            <w:tcW w:w="1609"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b/>
                <w:bCs/>
                <w:i w:val="0"/>
                <w:iCs w:val="0"/>
                <w:color w:val="000000"/>
                <w:sz w:val="20"/>
                <w:szCs w:val="20"/>
                <w:u w:val="none"/>
                <w:lang w:val="en-US" w:eastAsia="zh-CN"/>
              </w:rPr>
              <w:t xml:space="preserve">项目类型</w:t>
            </w:r>
            <w:r/>
          </w:p>
        </w:tc>
        <w:tc>
          <w:tcPr>
            <w:tcW w:w="845"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b/>
                <w:bCs/>
                <w:i w:val="0"/>
                <w:iCs w:val="0"/>
                <w:color w:val="000000"/>
                <w:sz w:val="20"/>
                <w:szCs w:val="20"/>
                <w:u w:val="none"/>
                <w:lang w:val="en-US" w:eastAsia="zh-CN"/>
              </w:rPr>
              <w:t xml:space="preserve">面积</w:t>
            </w:r>
            <w:r/>
          </w:p>
        </w:tc>
        <w:tc>
          <w:tcPr>
            <w:tcW w:w="3723"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b/>
                <w:bCs/>
                <w:i w:val="0"/>
                <w:iCs w:val="0"/>
                <w:color w:val="000000"/>
                <w:sz w:val="20"/>
                <w:szCs w:val="20"/>
                <w:u w:val="none"/>
                <w:lang w:val="en-US" w:eastAsia="zh-CN"/>
              </w:rPr>
              <w:t xml:space="preserve">费用</w:t>
            </w:r>
            <w:r/>
          </w:p>
        </w:tc>
        <w:tc>
          <w:tcPr>
            <w:tcW w:w="2154"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b/>
                <w:bCs/>
                <w:i w:val="0"/>
                <w:iCs w:val="0"/>
                <w:color w:val="000000"/>
                <w:sz w:val="20"/>
                <w:szCs w:val="20"/>
                <w:u w:val="none"/>
                <w:lang w:val="en-US" w:eastAsia="zh-CN"/>
              </w:rPr>
              <w:t xml:space="preserve">备注</w:t>
            </w:r>
            <w:r/>
          </w:p>
        </w:tc>
      </w:tr>
      <w:tr>
        <w:trPr>
          <w:jc w:val="center"/>
          <w:trHeight w:val="524"/>
        </w:trPr>
        <w:tc>
          <w:tcPr>
            <w:tcW w:w="628"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1</w:t>
            </w:r>
            <w:r/>
          </w:p>
        </w:tc>
        <w:tc>
          <w:tcPr>
            <w:tcW w:w="1609"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不涉及省级公益林</w:t>
            </w:r>
            <w:r/>
          </w:p>
        </w:tc>
        <w:tc>
          <w:tcPr>
            <w:tcW w:w="845"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≤10亩</w:t>
            </w:r>
            <w:r/>
          </w:p>
        </w:tc>
        <w:tc>
          <w:tcPr>
            <w:tcW w:w="3723"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2.5万元/宗</w:t>
            </w:r>
            <w:r/>
          </w:p>
        </w:tc>
        <w:tc>
          <w:tcPr>
            <w:tcW w:w="2154"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固定总价，含林木采伐作业设计书</w:t>
            </w:r>
            <w:r/>
          </w:p>
        </w:tc>
      </w:tr>
      <w:tr>
        <w:trPr>
          <w:jc w:val="center"/>
          <w:trHeight w:val="637"/>
        </w:trPr>
        <w:tc>
          <w:tcPr>
            <w:tcW w:w="628"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2</w:t>
            </w:r>
            <w:r/>
          </w:p>
        </w:tc>
        <w:tc>
          <w:tcPr>
            <w:tcW w:w="1609"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涉及省级公益林</w:t>
            </w:r>
            <w:r/>
          </w:p>
        </w:tc>
        <w:tc>
          <w:tcPr>
            <w:tcW w:w="845"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≤10亩</w:t>
            </w:r>
            <w:r/>
          </w:p>
        </w:tc>
        <w:tc>
          <w:tcPr>
            <w:tcW w:w="3723"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3万元/宗</w:t>
            </w:r>
            <w:r/>
          </w:p>
        </w:tc>
        <w:tc>
          <w:tcPr>
            <w:tcW w:w="2154"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固定总价，含林木采伐作业设计书</w:t>
            </w:r>
            <w:r/>
          </w:p>
        </w:tc>
      </w:tr>
      <w:tr>
        <w:trPr>
          <w:jc w:val="center"/>
          <w:trHeight w:val="606"/>
        </w:trPr>
        <w:tc>
          <w:tcPr>
            <w:tcW w:w="628"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3</w:t>
            </w:r>
            <w:r/>
          </w:p>
        </w:tc>
        <w:tc>
          <w:tcPr>
            <w:tcW w:w="1609"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不涉及省级公益林</w:t>
            </w:r>
            <w:r/>
          </w:p>
        </w:tc>
        <w:tc>
          <w:tcPr>
            <w:tcW w:w="845"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&gt;10亩</w:t>
            </w:r>
            <w:r/>
          </w:p>
        </w:tc>
        <w:tc>
          <w:tcPr>
            <w:tcW w:w="3723"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2.5万元/宗+面积*0.1万元/亩</w:t>
            </w:r>
            <w:r/>
          </w:p>
        </w:tc>
        <w:tc>
          <w:tcPr>
            <w:tcW w:w="2154"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基础价+按亩累加，含林木采伐作业设计书</w:t>
            </w:r>
            <w:r/>
          </w:p>
        </w:tc>
      </w:tr>
      <w:tr>
        <w:trPr>
          <w:jc w:val="center"/>
          <w:trHeight w:val="782"/>
        </w:trPr>
        <w:tc>
          <w:tcPr>
            <w:tcW w:w="628"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4</w:t>
            </w:r>
            <w:r/>
          </w:p>
        </w:tc>
        <w:tc>
          <w:tcPr>
            <w:tcW w:w="1609"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涉及省级公益林</w:t>
            </w:r>
            <w:r/>
          </w:p>
        </w:tc>
        <w:tc>
          <w:tcPr>
            <w:tcW w:w="845"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&gt;10亩</w:t>
            </w:r>
            <w:r/>
          </w:p>
        </w:tc>
        <w:tc>
          <w:tcPr>
            <w:tcW w:w="3723"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2.5万元/宗+面积*0.1万元/亩+0.5万元/宗</w:t>
            </w:r>
            <w:r/>
          </w:p>
        </w:tc>
        <w:tc>
          <w:tcPr>
            <w:tcW w:w="2154" w:type="dxa"/>
            <w:vAlign w:val="center"/>
            <w:textDirection w:val="lrTb"/>
            <w:noWrap w:val="false"/>
          </w:tcPr>
          <w:p>
            <w:pPr>
              <w:jc w:val="center"/>
              <w:keepLines w:val="0"/>
              <w:keepNext w:val="0"/>
              <w:widowControl/>
              <w:rPr>
                <w:rFonts w:hint="eastAsia" w:ascii="Arial" w:hAnsi="Arial" w:eastAsia="Arial"/>
                <w:sz w:val="28"/>
                <w:szCs w:val="28"/>
                <w:vertAlign w:val="baseline"/>
              </w:rPr>
              <w:suppressLineNumbers w:val="0"/>
            </w:pPr>
            <w:r>
              <w:rPr>
                <w:rFonts w:hint="eastAsia" w:ascii="宋体" w:hAnsi="宋体" w:eastAsia="宋体" w:cs="宋体"/>
                <w:i w:val="0"/>
                <w:iCs w:val="0"/>
                <w:color w:val="000000"/>
                <w:sz w:val="18"/>
                <w:szCs w:val="18"/>
                <w:u w:val="none"/>
                <w:lang w:val="en-US" w:eastAsia="zh-CN"/>
              </w:rPr>
              <w:t xml:space="preserve">基础价+按亩累加+公益林调整费用，含林木采伐作业设计书</w:t>
            </w:r>
            <w:r/>
          </w:p>
        </w:tc>
      </w:tr>
    </w:tbl>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具体</w:t>
      </w:r>
      <w:r>
        <w:rPr>
          <w:rFonts w:hint="eastAsia" w:ascii="宋体" w:hAnsi="宋体" w:eastAsia="宋体" w:cs="宋体"/>
          <w:sz w:val="28"/>
          <w:szCs w:val="28"/>
        </w:rPr>
        <w:t xml:space="preserve">详见招标文件第五章采购需求。</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rPr>
        <w:t xml:space="preserve">合同履行期限：</w:t>
      </w:r>
      <w:r>
        <w:rPr>
          <w:rFonts w:hint="eastAsia" w:ascii="宋体" w:hAnsi="宋体" w:eastAsia="宋体" w:cs="宋体"/>
          <w:sz w:val="28"/>
          <w:szCs w:val="28"/>
          <w:highlight w:val="none"/>
        </w:rPr>
        <w:t xml:space="preserve">自签订合同之日起至202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年12月止。</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本项目（是/否）接受联合体投标：不接受联合体。</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15" w:name="_Toc28359003"/>
      <w:r/>
      <w:bookmarkStart w:id="16" w:name="_Toc35393622"/>
      <w:r/>
      <w:bookmarkStart w:id="17" w:name="_Toc35393791"/>
      <w:r/>
      <w:bookmarkStart w:id="18" w:name="_Toc28359080"/>
      <w:r>
        <w:rPr>
          <w:rFonts w:hint="eastAsia" w:ascii="宋体" w:hAnsi="宋体" w:eastAsia="宋体" w:cs="宋体"/>
          <w:b/>
          <w:sz w:val="32"/>
          <w:szCs w:val="32"/>
        </w:rPr>
        <w:t xml:space="preserve">二、申请人的资格要求：</w:t>
      </w:r>
      <w:bookmarkEnd w:id="15"/>
      <w:r/>
      <w:bookmarkEnd w:id="16"/>
      <w:r/>
      <w:bookmarkEnd w:id="17"/>
      <w:r/>
      <w:bookmarkEnd w:id="18"/>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（一）满足《中华人民共和国政府采购法》第二十二条规定；</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基本资格条件的承诺（根据供应商提供的承诺函，内容完整且具有法人及法定代表人的印章）。</w:t>
      </w:r>
      <w:r/>
    </w:p>
    <w:p>
      <w:pPr>
        <w:ind w:firstLine="560"/>
        <w:keepLines w:val="0"/>
        <w:keepNext w:val="0"/>
        <w:pageBreakBefore w:val="0"/>
        <w:spacing w:line="440" w:lineRule="exact"/>
        <w:widowControl w:val="off"/>
        <w:rPr>
          <w:rFonts w:hint="eastAsia" w:ascii="宋体" w:hAnsi="宋体" w:eastAsia="宋体" w:cs="宋体"/>
          <w:sz w:val="28"/>
          <w:szCs w:val="28"/>
        </w:rPr>
      </w:pPr>
      <w:r/>
      <w:bookmarkStart w:id="19" w:name="_Toc28359004"/>
      <w:r/>
      <w:bookmarkStart w:id="20" w:name="_Toc28359081"/>
      <w:r>
        <w:rPr>
          <w:rFonts w:hint="eastAsia" w:ascii="宋体" w:hAnsi="宋体" w:eastAsia="宋体" w:cs="宋体"/>
          <w:sz w:val="28"/>
          <w:szCs w:val="28"/>
        </w:rPr>
        <w:t xml:space="preserve">（二）落实政府采购政策需满足的资格要求：本项目为非专门面向中小企业的项目。</w:t>
      </w:r>
      <w:bookmarkEnd w:id="19"/>
      <w:r/>
      <w:bookmarkEnd w:id="20"/>
      <w:r/>
      <w:r/>
    </w:p>
    <w:p>
      <w:pPr>
        <w:ind w:firstLine="560"/>
        <w:keepLines w:val="0"/>
        <w:keepNext w:val="0"/>
        <w:pageBreakBefore w:val="0"/>
        <w:spacing w:line="440" w:lineRule="exact"/>
        <w:widowControl w:val="off"/>
        <w:rPr>
          <w:rFonts w:hint="eastAsia" w:ascii="宋体" w:hAnsi="宋体" w:eastAsia="宋体" w:cs="宋体"/>
          <w:sz w:val="28"/>
          <w:szCs w:val="28"/>
          <w:highlight w:val="none"/>
          <w:lang w:eastAsia="zh-CN"/>
        </w:rPr>
      </w:pPr>
      <w:r/>
      <w:bookmarkStart w:id="21" w:name="_Toc28359085"/>
      <w:r/>
      <w:bookmarkStart w:id="22" w:name="_Toc35393796"/>
      <w:r/>
      <w:bookmarkStart w:id="23" w:name="_Toc35393627"/>
      <w:r/>
      <w:bookmarkStart w:id="24" w:name="_Toc28359008"/>
      <w:r>
        <w:rPr>
          <w:rFonts w:hint="eastAsia" w:ascii="宋体" w:hAnsi="宋体" w:eastAsia="宋体" w:cs="宋体"/>
          <w:sz w:val="28"/>
          <w:szCs w:val="28"/>
        </w:rPr>
        <w:t xml:space="preserve">（三）本项目的特定资格要求：</w:t>
      </w:r>
      <w:r>
        <w:rPr>
          <w:rFonts w:hint="eastAsia" w:ascii="宋体" w:hAnsi="宋体" w:eastAsia="宋体" w:cs="宋体"/>
          <w:sz w:val="28"/>
          <w:szCs w:val="28"/>
          <w:highlight w:val="none"/>
        </w:rPr>
        <w:t xml:space="preserve">供应商应具备林业调查规划设计资质丙级及以上资质证书</w:t>
      </w:r>
      <w:r>
        <w:rPr>
          <w:rFonts w:hint="eastAsia" w:ascii="宋体" w:hAnsi="宋体" w:eastAsia="宋体" w:cs="宋体"/>
          <w:sz w:val="28"/>
          <w:szCs w:val="28"/>
          <w:highlight w:val="none"/>
          <w:lang w:eastAsia="zh-CN"/>
        </w:rPr>
        <w:t xml:space="preserve">。</w:t>
      </w:r>
      <w:r/>
    </w:p>
    <w:p>
      <w:pPr>
        <w:ind w:firstLine="643"/>
        <w:keepLines w:val="0"/>
        <w:keepNext w:val="0"/>
        <w:pageBreakBefore w:val="0"/>
        <w:spacing w:line="440" w:lineRule="exact"/>
        <w:widowControl w:val="off"/>
        <w:rPr>
          <w:rFonts w:hint="eastAsia" w:ascii="宋体" w:hAnsi="宋体" w:eastAsia="宋体" w:cs="宋体"/>
          <w:b/>
          <w:sz w:val="32"/>
          <w:szCs w:val="32"/>
        </w:rPr>
      </w:pPr>
      <w:r>
        <w:rPr>
          <w:rFonts w:hint="eastAsia" w:ascii="宋体" w:hAnsi="宋体" w:eastAsia="宋体" w:cs="宋体"/>
          <w:b/>
          <w:sz w:val="32"/>
          <w:szCs w:val="32"/>
        </w:rPr>
        <w:t xml:space="preserve">三、获取招标文件</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时间：自招标文件公告发布之日起5个工作日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地点：“苏采云”政府采购一体化平台</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方式：线上获取</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售价：0.00元</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25" w:name="_Toc28359005"/>
      <w:r/>
      <w:bookmarkStart w:id="26" w:name="_Toc28359082"/>
      <w:r/>
      <w:bookmarkStart w:id="27" w:name="_Toc35393793"/>
      <w:r/>
      <w:bookmarkStart w:id="28" w:name="_Toc35393624"/>
      <w:r>
        <w:rPr>
          <w:rFonts w:hint="eastAsia" w:ascii="宋体" w:hAnsi="宋体" w:eastAsia="宋体" w:cs="宋体"/>
          <w:b/>
          <w:sz w:val="32"/>
          <w:szCs w:val="32"/>
        </w:rPr>
        <w:t xml:space="preserve">四、提交投标文件</w:t>
      </w:r>
      <w:bookmarkEnd w:id="25"/>
      <w:r/>
      <w:bookmarkEnd w:id="26"/>
      <w:r>
        <w:rPr>
          <w:rFonts w:hint="eastAsia" w:ascii="宋体" w:hAnsi="宋体" w:eastAsia="宋体" w:cs="宋体"/>
          <w:b/>
          <w:sz w:val="32"/>
          <w:szCs w:val="32"/>
        </w:rPr>
        <w:t xml:space="preserve">截止时间、开标时间和地点</w:t>
      </w:r>
      <w:bookmarkEnd w:id="27"/>
      <w:r/>
      <w:bookmarkEnd w:id="28"/>
      <w:r/>
      <w:r/>
    </w:p>
    <w:p>
      <w:pPr>
        <w:ind w:left="561"/>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highlight w:val="none"/>
        </w:rPr>
        <w:t xml:space="preserve">2026-0</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27</w:t>
      </w:r>
      <w:r>
        <w:rPr>
          <w:rFonts w:hint="eastAsia" w:ascii="宋体" w:hAnsi="宋体" w:eastAsia="宋体" w:cs="宋体"/>
          <w:sz w:val="28"/>
          <w:szCs w:val="28"/>
          <w:highlight w:val="none"/>
        </w:rPr>
        <w:t xml:space="preserve">  0</w:t>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:00</w:t>
      </w:r>
      <w:r>
        <w:rPr>
          <w:rFonts w:hint="eastAsia" w:ascii="宋体" w:hAnsi="宋体" w:eastAsia="宋体" w:cs="宋体"/>
          <w:sz w:val="28"/>
          <w:szCs w:val="28"/>
        </w:rPr>
        <w:t xml:space="preserve">（北京时间）</w:t>
      </w:r>
      <w:r/>
    </w:p>
    <w:p>
      <w:pPr>
        <w:ind w:left="561"/>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w:t>
      </w:r>
      <w:r>
        <w:rPr>
          <w:rFonts w:hint="eastAsia" w:ascii="宋体" w:hAnsi="宋体" w:cs="宋体"/>
          <w:sz w:val="28"/>
          <w:szCs w:val="28"/>
        </w:rPr>
        <w:t xml:space="preserve">“苏采云”政府采购交易系统网上开标大厅。</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29" w:name="_Toc35393625"/>
      <w:r/>
      <w:bookmarkStart w:id="30" w:name="_Toc28359084"/>
      <w:r/>
      <w:bookmarkStart w:id="31" w:name="_Toc35393794"/>
      <w:r/>
      <w:bookmarkStart w:id="32" w:name="_Toc28359007"/>
      <w:r>
        <w:rPr>
          <w:rFonts w:hint="eastAsia" w:ascii="宋体" w:hAnsi="宋体" w:eastAsia="宋体" w:cs="宋体"/>
          <w:b/>
          <w:sz w:val="32"/>
          <w:szCs w:val="32"/>
        </w:rPr>
        <w:t xml:space="preserve">五、公告期限</w:t>
      </w:r>
      <w:bookmarkEnd w:id="29"/>
      <w:r/>
      <w:bookmarkEnd w:id="30"/>
      <w:r/>
      <w:bookmarkEnd w:id="31"/>
      <w:r/>
      <w:bookmarkEnd w:id="32"/>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33" w:name="_Toc35393626"/>
      <w:r/>
      <w:bookmarkStart w:id="34" w:name="_Toc35393795"/>
      <w:r>
        <w:rPr>
          <w:rFonts w:hint="eastAsia" w:ascii="宋体" w:hAnsi="宋体" w:eastAsia="宋体" w:cs="宋体"/>
          <w:b/>
          <w:sz w:val="32"/>
          <w:szCs w:val="32"/>
        </w:rPr>
        <w:t xml:space="preserve">六、其他补充事宜</w:t>
      </w:r>
      <w:bookmarkEnd w:id="33"/>
      <w:r/>
      <w:bookmarkEnd w:id="34"/>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1.投标保证金：无。</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2.</w:t>
      </w:r>
      <w:r>
        <w:rPr>
          <w:rFonts w:hint="eastAsia" w:ascii="宋体" w:hAnsi="宋体" w:eastAsia="宋体" w:cs="宋体"/>
          <w:b/>
          <w:color w:val="ff0000"/>
        </w:rPr>
        <w:t xml:space="preserve"> </w:t>
      </w:r>
      <w:r>
        <w:rPr>
          <w:rFonts w:hint="eastAsia" w:ascii="宋体" w:hAnsi="宋体" w:eastAsia="宋体" w:cs="宋体"/>
          <w:b/>
          <w:color w:val="ff0000"/>
          <w:sz w:val="28"/>
          <w:szCs w:val="28"/>
        </w:rPr>
        <w:t xml:space="preserve">注意事项：</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（3）有关本次招标的事项若存在变动或修改，敬请及时关注“江苏政府采购网”发布的更正公告。</w:t>
      </w:r>
      <w:r/>
    </w:p>
    <w:p>
      <w:pPr>
        <w:ind w:firstLine="562"/>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color w:val="ff0000"/>
          <w:sz w:val="28"/>
          <w:szCs w:val="28"/>
        </w:rPr>
        <w:t xml:space="preserve">如潜在投标人未按上述要求操作，将自行承担所产生的风险。</w:t>
      </w:r>
      <w:r/>
    </w:p>
    <w:p>
      <w:pPr>
        <w:ind w:firstLine="643"/>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sz w:val="32"/>
          <w:szCs w:val="32"/>
        </w:rPr>
        <w:t xml:space="preserve">七、对本次招标提出询问，请按以下方式联系。</w:t>
      </w:r>
      <w:bookmarkEnd w:id="21"/>
      <w:r/>
      <w:bookmarkEnd w:id="22"/>
      <w:r/>
      <w:bookmarkEnd w:id="23"/>
      <w:r/>
      <w:bookmarkEnd w:id="24"/>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keepLines w:val="0"/>
        <w:keepNext w:val="0"/>
        <w:pageBreakBefore w:val="0"/>
        <w:spacing w:line="440" w:lineRule="exact"/>
        <w:widowControl w:val="off"/>
        <w:rPr>
          <w:rFonts w:hint="eastAsia" w:ascii="宋体" w:hAnsi="宋体" w:eastAsia="宋体" w:cs="宋体"/>
          <w:sz w:val="28"/>
          <w:szCs w:val="28"/>
        </w:rPr>
      </w:pPr>
      <w:r/>
      <w:bookmarkStart w:id="35" w:name="_Toc28359009"/>
      <w:r/>
      <w:bookmarkStart w:id="36" w:name="_Toc28359086"/>
      <w:r>
        <w:rPr>
          <w:rFonts w:hint="eastAsia" w:ascii="宋体" w:hAnsi="宋体" w:eastAsia="宋体" w:cs="宋体"/>
          <w:sz w:val="28"/>
          <w:szCs w:val="28"/>
        </w:rPr>
        <w:t xml:space="preserve">名 称：泰兴市自然资源和规划局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 泰兴市文昌东路6号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eastAsia="宋体" w:cs="宋体"/>
          <w:sz w:val="28"/>
          <w:szCs w:val="28"/>
          <w:highlight w:val="none"/>
        </w:rPr>
        <w:t xml:space="preserve">：</w:t>
      </w:r>
      <w:r>
        <w:rPr>
          <w:rFonts w:hint="eastAsia" w:ascii="宋体" w:hAnsi="宋体" w:eastAsia="宋体" w:cs="宋体"/>
          <w:color w:val="auto"/>
          <w:sz w:val="28"/>
          <w:szCs w:val="28"/>
          <w:highlight w:val="none"/>
        </w:rPr>
        <w:t xml:space="preserve">0523-</w:t>
      </w:r>
      <w:r>
        <w:rPr>
          <w:rFonts w:hint="eastAsia" w:ascii="宋体" w:hAnsi="宋体" w:eastAsia="宋体" w:cs="宋体"/>
          <w:sz w:val="28"/>
          <w:szCs w:val="28"/>
          <w:lang w:val="en-US" w:eastAsia="zh-CN"/>
        </w:rPr>
        <w:t xml:space="preserve">80721690</w:t>
      </w:r>
      <w:r>
        <w:rPr>
          <w:rFonts w:hint="eastAsia" w:ascii="宋体" w:hAnsi="宋体" w:eastAsia="宋体" w:cs="宋体"/>
          <w:color w:val="auto"/>
          <w:sz w:val="28"/>
          <w:szCs w:val="28"/>
          <w:highlight w:val="none"/>
        </w:rPr>
        <w:t xml:space="preserve"> </w:t>
      </w:r>
      <w:r>
        <w:rPr>
          <w:rFonts w:hint="eastAsia" w:ascii="宋体" w:hAnsi="宋体" w:eastAsia="宋体" w:cs="宋体"/>
          <w:sz w:val="28"/>
          <w:szCs w:val="28"/>
          <w:highlight w:val="none"/>
        </w:rPr>
        <w:t xml:space="preserve">  </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2.采购代理机构信息</w:t>
      </w:r>
      <w:bookmarkEnd w:id="35"/>
      <w:r/>
      <w:bookmarkEnd w:id="36"/>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名 称：泰兴市公共资源交易中心</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址：泰兴市文昌东路62号四楼40</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室</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bookmarkStart w:id="37" w:name="_Toc28359010"/>
      <w:r/>
      <w:bookmarkStart w:id="38" w:name="_Toc28359087"/>
      <w:r>
        <w:rPr>
          <w:rFonts w:hint="eastAsia" w:ascii="宋体" w:hAnsi="宋体" w:eastAsia="宋体" w:cs="宋体"/>
          <w:sz w:val="28"/>
          <w:szCs w:val="28"/>
        </w:rPr>
        <w:t xml:space="preserve"> 0523-87654122             </w:t>
      </w:r>
      <w:bookmarkEnd w:id="37"/>
      <w:r/>
      <w:bookmarkEnd w:id="38"/>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3.项目联系方式</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项目联系人：泰兴市自然资源和规划局   </w:t>
      </w:r>
      <w:r>
        <w:rPr>
          <w:rFonts w:hint="eastAsia" w:ascii="宋体" w:hAnsi="宋体" w:eastAsia="宋体" w:cs="宋体"/>
          <w:sz w:val="28"/>
          <w:szCs w:val="28"/>
          <w:lang w:val="en-US" w:eastAsia="zh-CN"/>
        </w:rPr>
        <w:t xml:space="preserve">夏、李女士</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　话：0523-</w:t>
      </w:r>
      <w:r>
        <w:rPr>
          <w:rFonts w:hint="eastAsia" w:ascii="宋体" w:hAnsi="宋体" w:eastAsia="宋体" w:cs="宋体"/>
          <w:sz w:val="28"/>
          <w:szCs w:val="28"/>
          <w:lang w:val="en-US" w:eastAsia="zh-CN"/>
        </w:rPr>
        <w:t xml:space="preserve">80721690</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项目联系人：泰兴市公共资源交易中心   黄女士</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　话：0523-87654122</w:t>
      </w:r>
      <w:r/>
    </w:p>
    <w:p>
      <w:pPr>
        <w:pStyle w:val="650"/>
      </w:pPr>
      <w:r/>
      <w:r/>
    </w:p>
    <w:p>
      <w:pPr>
        <w:pStyle w:val="665"/>
        <w:ind w:left="0" w:firstLine="0"/>
        <w:jc w:val="center"/>
        <w:rPr>
          <w:rFonts w:ascii="黑体" w:hAnsi="黑体" w:eastAsia="黑体"/>
          <w:b/>
          <w:bCs/>
          <w:color w:val="auto"/>
          <w:szCs w:val="32"/>
        </w:rPr>
      </w:pPr>
      <w:r/>
      <w:bookmarkStart w:id="39" w:name="_Toc426469869"/>
      <w:r/>
      <w:bookmarkStart w:id="40" w:name="_Toc513029200"/>
      <w:r/>
      <w:bookmarkStart w:id="41" w:name="_Toc20823272"/>
      <w:r/>
      <w:bookmarkStart w:id="42" w:name="_Toc382813885"/>
      <w:r/>
      <w:bookmarkStart w:id="43" w:name="_Toc16938516"/>
      <w:r/>
      <w:bookmarkStart w:id="44" w:name="_Toc382813966"/>
      <w:r/>
      <w:bookmarkStart w:id="45" w:name="_Toc382812472"/>
      <w:r/>
      <w:bookmarkStart w:id="46" w:name="_Toc479757206"/>
      <w:r/>
      <w:bookmarkStart w:id="47" w:name="_Toc523127445"/>
      <w:r>
        <w:rPr>
          <w:szCs w:val="32"/>
        </w:rPr>
        <w:br w:type="page" w:clear="all"/>
      </w:r>
      <w:r>
        <w:rPr>
          <w:rFonts w:hint="eastAsia" w:ascii="黑体" w:hAnsi="黑体" w:eastAsia="黑体"/>
          <w:b/>
          <w:bCs/>
          <w:color w:val="auto"/>
        </w:rPr>
        <w:t xml:space="preserve">第二章</w:t>
      </w:r>
      <w:r>
        <w:rPr>
          <w:rFonts w:ascii="黑体" w:hAnsi="黑体" w:eastAsia="黑体"/>
          <w:b/>
          <w:bCs/>
          <w:color w:val="auto"/>
        </w:rPr>
        <w:t xml:space="preserve"> </w:t>
      </w:r>
      <w:r>
        <w:rPr>
          <w:rFonts w:hint="eastAsia" w:ascii="黑体" w:hAnsi="黑体" w:eastAsia="黑体"/>
          <w:b/>
          <w:bCs/>
          <w:color w:val="auto"/>
        </w:rPr>
        <w:t xml:space="preserve">供应商须知</w:t>
      </w:r>
      <w:bookmarkEnd w:id="39"/>
      <w:r/>
      <w:r/>
    </w:p>
    <w:p>
      <w:pPr>
        <w:rPr>
          <w:sz w:val="28"/>
          <w:szCs w:val="28"/>
        </w:rPr>
      </w:pPr>
      <w:r/>
      <w:bookmarkStart w:id="48" w:name="_Toc426469870"/>
      <w:r>
        <w:rPr>
          <w:rFonts w:hint="eastAsia"/>
          <w:sz w:val="28"/>
          <w:szCs w:val="28"/>
        </w:rPr>
        <w:t xml:space="preserve">供应商须知前附表</w:t>
      </w:r>
      <w:bookmarkEnd w:id="48"/>
      <w:r/>
      <w:r/>
    </w:p>
    <w:tbl>
      <w:tblPr>
        <w:tblStyle w:val="6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w:t>
            </w:r>
            <w:r>
              <w:rPr>
                <w:rFonts w:ascii="宋体" w:hAnsi="宋体"/>
                <w:b/>
                <w:sz w:val="28"/>
                <w:szCs w:val="28"/>
              </w:rPr>
              <w:t xml:space="preserve"> </w:t>
            </w:r>
            <w:r>
              <w:rPr>
                <w:rFonts w:hint="eastAsia" w:ascii="宋体" w:hAnsi="宋体"/>
                <w:b/>
                <w:sz w:val="28"/>
                <w:szCs w:val="28"/>
              </w:rPr>
              <w:t xml:space="preserve">款</w:t>
            </w:r>
            <w:r>
              <w:rPr>
                <w:rFonts w:ascii="宋体" w:hAnsi="宋体"/>
                <w:b/>
                <w:sz w:val="28"/>
                <w:szCs w:val="28"/>
              </w:rPr>
              <w:t xml:space="preserve"> </w:t>
            </w:r>
            <w:r>
              <w:rPr>
                <w:rFonts w:hint="eastAsia" w:ascii="宋体" w:hAnsi="宋体"/>
                <w:b/>
                <w:sz w:val="28"/>
                <w:szCs w:val="28"/>
              </w:rPr>
              <w:t xml:space="preserve">名</w:t>
            </w:r>
            <w:r>
              <w:rPr>
                <w:rFonts w:ascii="宋体" w:hAnsi="宋体"/>
                <w:b/>
                <w:sz w:val="28"/>
                <w:szCs w:val="28"/>
              </w:rPr>
              <w:t xml:space="preserve"> </w:t>
            </w:r>
            <w:r>
              <w:rPr>
                <w:rFonts w:hint="eastAsia" w:ascii="宋体" w:hAnsi="宋体"/>
                <w:b/>
                <w:sz w:val="28"/>
                <w:szCs w:val="28"/>
              </w:rPr>
              <w:t xml:space="preserve">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w:t>
            </w:r>
            <w:r>
              <w:rPr>
                <w:rFonts w:ascii="宋体" w:hAnsi="宋体"/>
                <w:b/>
                <w:sz w:val="28"/>
                <w:szCs w:val="28"/>
              </w:rPr>
              <w:t xml:space="preserve">  </w:t>
            </w:r>
            <w:r>
              <w:rPr>
                <w:rFonts w:hint="eastAsia" w:ascii="宋体" w:hAnsi="宋体"/>
                <w:b/>
                <w:sz w:val="28"/>
                <w:szCs w:val="28"/>
              </w:rPr>
              <w:t xml:space="preserve">列</w:t>
            </w:r>
            <w:r>
              <w:rPr>
                <w:rFonts w:ascii="宋体" w:hAnsi="宋体"/>
                <w:b/>
                <w:sz w:val="28"/>
                <w:szCs w:val="28"/>
              </w:rPr>
              <w:t xml:space="preserve">  </w:t>
            </w: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名称：泰兴市自然资源和规划局</w:t>
            </w:r>
            <w:r/>
          </w:p>
          <w:p>
            <w:pPr>
              <w:jc w:val="left"/>
              <w:spacing w:line="360" w:lineRule="exact"/>
              <w:rPr>
                <w:rFonts w:ascii="宋体" w:hAnsi="宋体"/>
                <w:sz w:val="28"/>
                <w:szCs w:val="28"/>
              </w:rPr>
            </w:pPr>
            <w:r>
              <w:rPr>
                <w:rFonts w:hint="eastAsia" w:ascii="宋体" w:hAnsi="宋体"/>
                <w:sz w:val="28"/>
                <w:szCs w:val="28"/>
              </w:rPr>
              <w:t xml:space="preserve">地址：泰兴市文昌东路6号</w:t>
            </w:r>
            <w:r/>
          </w:p>
          <w:p>
            <w:pPr>
              <w:jc w:val="left"/>
              <w:spacing w:line="360" w:lineRule="exact"/>
              <w:rPr>
                <w:rFonts w:hint="default" w:ascii="宋体" w:hAnsi="宋体" w:eastAsia="宋体"/>
                <w:sz w:val="28"/>
                <w:szCs w:val="28"/>
                <w:lang w:val="en-US" w:eastAsia="zh-CN"/>
              </w:rPr>
            </w:pPr>
            <w:r>
              <w:rPr>
                <w:rFonts w:hint="eastAsia" w:ascii="宋体" w:hAnsi="宋体"/>
                <w:sz w:val="28"/>
                <w:szCs w:val="28"/>
              </w:rPr>
              <w:t xml:space="preserve">联系人：</w:t>
            </w:r>
            <w:r>
              <w:rPr>
                <w:rFonts w:hint="eastAsia" w:ascii="宋体" w:hAnsi="宋体"/>
                <w:sz w:val="28"/>
                <w:szCs w:val="28"/>
                <w:lang w:val="en-US" w:eastAsia="zh-CN"/>
              </w:rPr>
              <w:t xml:space="preserve">夏、李女士</w:t>
            </w:r>
            <w:r/>
          </w:p>
          <w:p>
            <w:pPr>
              <w:jc w:val="left"/>
              <w:spacing w:line="360" w:lineRule="exact"/>
              <w:rPr>
                <w:rFonts w:ascii="宋体" w:hAnsi="宋体"/>
                <w:sz w:val="28"/>
                <w:szCs w:val="28"/>
              </w:rPr>
            </w:pPr>
            <w:r>
              <w:rPr>
                <w:rFonts w:hint="eastAsia" w:ascii="宋体" w:hAnsi="宋体"/>
                <w:sz w:val="28"/>
                <w:szCs w:val="28"/>
              </w:rPr>
              <w:t xml:space="preserve">联系电话</w:t>
            </w:r>
            <w:r>
              <w:rPr>
                <w:rFonts w:hint="eastAsia" w:ascii="宋体" w:hAnsi="宋体" w:eastAsia="宋体" w:cs="宋体"/>
                <w:sz w:val="28"/>
                <w:szCs w:val="28"/>
              </w:rPr>
              <w:t xml:space="preserve">：0523-</w:t>
            </w:r>
            <w:r>
              <w:rPr>
                <w:rFonts w:hint="eastAsia" w:ascii="宋体" w:hAnsi="宋体" w:eastAsia="宋体" w:cs="宋体"/>
                <w:sz w:val="28"/>
                <w:szCs w:val="28"/>
                <w:lang w:val="en-US" w:eastAsia="zh-CN"/>
              </w:rPr>
              <w:t xml:space="preserve">80721690</w:t>
            </w:r>
            <w:r/>
          </w:p>
        </w:tc>
      </w:tr>
      <w:tr>
        <w:trPr>
          <w:jc w:val="center"/>
          <w:trHeight w:val="144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名称：泰兴市公共资源交易中心</w:t>
            </w:r>
            <w:r/>
          </w:p>
          <w:p>
            <w:pPr>
              <w:jc w:val="left"/>
              <w:spacing w:line="360" w:lineRule="exact"/>
              <w:rPr>
                <w:rFonts w:ascii="宋体"/>
                <w:sz w:val="28"/>
                <w:szCs w:val="28"/>
              </w:rPr>
            </w:pPr>
            <w:r>
              <w:rPr>
                <w:rFonts w:hint="eastAsia" w:ascii="宋体" w:hAnsi="宋体"/>
                <w:sz w:val="28"/>
                <w:szCs w:val="28"/>
              </w:rPr>
              <w:t xml:space="preserve">地址：泰兴市文昌东路</w:t>
            </w:r>
            <w:r>
              <w:rPr>
                <w:rFonts w:ascii="宋体" w:hAnsi="宋体"/>
                <w:sz w:val="28"/>
                <w:szCs w:val="28"/>
              </w:rPr>
              <w:t xml:space="preserve">62</w:t>
            </w:r>
            <w:r>
              <w:rPr>
                <w:rFonts w:hint="eastAsia" w:ascii="宋体" w:hAnsi="宋体"/>
                <w:sz w:val="28"/>
                <w:szCs w:val="28"/>
              </w:rPr>
              <w:t xml:space="preserve">号四楼</w:t>
            </w:r>
            <w:r>
              <w:rPr>
                <w:rFonts w:ascii="宋体" w:hAnsi="宋体"/>
                <w:sz w:val="28"/>
                <w:szCs w:val="28"/>
              </w:rPr>
              <w:t xml:space="preserve">40</w:t>
            </w:r>
            <w:r>
              <w:rPr>
                <w:rFonts w:hint="eastAsia" w:ascii="宋体" w:hAnsi="宋体"/>
                <w:sz w:val="28"/>
                <w:szCs w:val="28"/>
                <w:lang w:val="en-US" w:eastAsia="zh-CN"/>
              </w:rPr>
              <w:t xml:space="preserve">2</w:t>
            </w:r>
            <w:bookmarkStart w:id="535" w:name="_GoBack"/>
            <w:r/>
            <w:bookmarkEnd w:id="535"/>
            <w:r>
              <w:rPr>
                <w:rFonts w:hint="eastAsia" w:ascii="宋体" w:hAnsi="宋体"/>
                <w:sz w:val="28"/>
                <w:szCs w:val="28"/>
              </w:rPr>
              <w:t xml:space="preserve">室</w:t>
            </w:r>
            <w:r/>
          </w:p>
          <w:p>
            <w:pPr>
              <w:jc w:val="left"/>
              <w:spacing w:line="360" w:lineRule="exact"/>
              <w:rPr>
                <w:rFonts w:ascii="宋体"/>
                <w:sz w:val="28"/>
                <w:szCs w:val="28"/>
              </w:rPr>
            </w:pPr>
            <w:r>
              <w:rPr>
                <w:rFonts w:hint="eastAsia" w:ascii="宋体" w:hAnsi="宋体"/>
                <w:sz w:val="28"/>
                <w:szCs w:val="28"/>
              </w:rPr>
              <w:t xml:space="preserve">联系人：黄、吕、顾女士</w:t>
            </w:r>
            <w:r/>
          </w:p>
          <w:p>
            <w:pPr>
              <w:jc w:val="left"/>
              <w:spacing w:line="360" w:lineRule="exact"/>
              <w:rPr>
                <w:rFonts w:ascii="宋体" w:hAnsi="宋体"/>
                <w:sz w:val="28"/>
                <w:szCs w:val="28"/>
              </w:rPr>
            </w:pPr>
            <w:r>
              <w:rPr>
                <w:rFonts w:hint="eastAsia" w:ascii="宋体" w:hAnsi="宋体"/>
                <w:sz w:val="28"/>
                <w:szCs w:val="28"/>
              </w:rPr>
              <w:t xml:space="preserve">联系电话：</w:t>
            </w:r>
            <w:r>
              <w:rPr>
                <w:rFonts w:ascii="宋体" w:hAnsi="宋体"/>
                <w:sz w:val="28"/>
                <w:szCs w:val="28"/>
              </w:rPr>
              <w:t xml:space="preserve">0523-87654122</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ind w:left="1439" w:hanging="1439"/>
              <w:jc w:val="left"/>
              <w:spacing w:line="360" w:lineRule="exact"/>
              <w:rPr>
                <w:rFonts w:hint="eastAsia" w:ascii="宋体" w:hAnsi="宋体"/>
                <w:sz w:val="28"/>
                <w:szCs w:val="28"/>
              </w:rPr>
            </w:pPr>
            <w:r>
              <w:rPr>
                <w:rFonts w:hint="eastAsia" w:ascii="宋体" w:hAnsi="宋体"/>
                <w:sz w:val="28"/>
                <w:szCs w:val="28"/>
              </w:rPr>
              <w:t xml:space="preserve">项目名称：泰兴市</w:t>
            </w:r>
            <w:r>
              <w:rPr>
                <w:rFonts w:hint="eastAsia" w:ascii="宋体" w:hAnsi="宋体"/>
                <w:sz w:val="28"/>
                <w:szCs w:val="28"/>
                <w:highlight w:val="none"/>
              </w:rPr>
              <w:t xml:space="preserve">202</w:t>
            </w:r>
            <w:r>
              <w:rPr>
                <w:rFonts w:hint="eastAsia" w:ascii="宋体" w:hAnsi="宋体"/>
                <w:sz w:val="28"/>
                <w:szCs w:val="28"/>
                <w:highlight w:val="none"/>
                <w:lang w:val="en-US" w:eastAsia="zh-CN"/>
              </w:rPr>
              <w:t xml:space="preserve">6</w:t>
            </w:r>
            <w:r>
              <w:rPr>
                <w:rFonts w:hint="eastAsia" w:ascii="宋体" w:hAnsi="宋体"/>
                <w:sz w:val="28"/>
                <w:szCs w:val="28"/>
              </w:rPr>
              <w:t xml:space="preserve">年度建设用地涉林报批服务项目</w:t>
            </w:r>
            <w:r/>
          </w:p>
          <w:p>
            <w:pPr>
              <w:jc w:val="left"/>
              <w:spacing w:line="360" w:lineRule="exact"/>
              <w:rPr>
                <w:rFonts w:hint="default" w:ascii="宋体" w:eastAsia="宋体"/>
                <w:sz w:val="28"/>
                <w:szCs w:val="28"/>
                <w:lang w:val="en-US" w:eastAsia="zh-CN"/>
              </w:rPr>
            </w:pPr>
            <w:r>
              <w:rPr>
                <w:rFonts w:hint="eastAsia" w:ascii="宋体" w:hAnsi="宋体"/>
                <w:sz w:val="28"/>
                <w:szCs w:val="28"/>
              </w:rPr>
              <w:t xml:space="preserve">项目编号：JSZC-321283-JZCG-G202</w:t>
            </w:r>
            <w:r>
              <w:rPr>
                <w:rFonts w:hint="eastAsia" w:ascii="宋体" w:hAnsi="宋体"/>
                <w:sz w:val="28"/>
                <w:szCs w:val="28"/>
                <w:lang w:val="en-US" w:eastAsia="zh-CN"/>
              </w:rPr>
              <w:t xml:space="preserve">6</w:t>
            </w:r>
            <w:r>
              <w:rPr>
                <w:rFonts w:hint="eastAsia" w:ascii="宋体" w:hAnsi="宋体"/>
                <w:sz w:val="28"/>
                <w:szCs w:val="28"/>
              </w:rPr>
              <w:t xml:space="preserve">-00</w:t>
            </w:r>
            <w:r>
              <w:rPr>
                <w:rFonts w:hint="eastAsia" w:ascii="宋体" w:hAnsi="宋体"/>
                <w:sz w:val="28"/>
                <w:szCs w:val="28"/>
                <w:lang w:val="en-US" w:eastAsia="zh-CN"/>
              </w:rPr>
              <w:t xml:space="preserve">01</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spacing w:line="360" w:lineRule="exact"/>
              <w:rPr>
                <w:rFonts w:hint="default" w:ascii="宋体"/>
                <w:sz w:val="28"/>
                <w:szCs w:val="28"/>
                <w:lang w:val="en-US"/>
              </w:rPr>
            </w:pPr>
            <w:r>
              <w:rPr>
                <w:rFonts w:hint="eastAsia" w:ascii="宋体"/>
                <w:sz w:val="28"/>
                <w:szCs w:val="28"/>
                <w:highlight w:val="none"/>
              </w:rPr>
              <w:t xml:space="preserve">建设用地涉林报批服务费用</w:t>
            </w:r>
            <w:r>
              <w:rPr>
                <w:rFonts w:hint="eastAsia" w:ascii="宋体"/>
                <w:sz w:val="28"/>
                <w:szCs w:val="28"/>
                <w:highlight w:val="none"/>
                <w:lang w:val="en-US" w:eastAsia="zh-CN"/>
              </w:rPr>
              <w:t xml:space="preserve">分两次结算，分别为6月30日按届时已获得批复项目数支付；尾款于当年底最后一个项目取得使用林地批复后1个月内，</w:t>
            </w:r>
            <w:r>
              <w:rPr>
                <w:rFonts w:hint="eastAsia" w:ascii="宋体"/>
                <w:sz w:val="28"/>
                <w:szCs w:val="28"/>
                <w:highlight w:val="none"/>
              </w:rPr>
              <w:t xml:space="preserve">按实际取得涉林批文的项目个数结算</w:t>
            </w:r>
            <w:r>
              <w:rPr>
                <w:rFonts w:hint="eastAsia" w:ascii="宋体"/>
                <w:sz w:val="28"/>
                <w:szCs w:val="28"/>
                <w:highlight w:val="none"/>
                <w:lang w:eastAsia="zh-CN"/>
              </w:rPr>
              <w:t xml:space="preserve">，</w:t>
            </w:r>
            <w:r>
              <w:rPr>
                <w:rFonts w:hint="eastAsia" w:ascii="宋体"/>
                <w:sz w:val="28"/>
                <w:szCs w:val="28"/>
                <w:highlight w:val="none"/>
                <w:lang w:val="en-US" w:eastAsia="zh-CN"/>
              </w:rPr>
              <w:t xml:space="preserve">最终结算超过中标价，按中标价结算。</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合同履行期限</w:t>
            </w:r>
            <w:r/>
          </w:p>
        </w:tc>
        <w:tc>
          <w:tcPr>
            <w:tcW w:w="5987" w:type="dxa"/>
            <w:vAlign w:val="center"/>
            <w:textDirection w:val="lrTb"/>
            <w:noWrap w:val="false"/>
          </w:tcPr>
          <w:p>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合同签订之日起至202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年12月止。</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highlight w:val="yellow"/>
              </w:rPr>
            </w:pPr>
            <w:r>
              <w:rPr>
                <w:rFonts w:hint="eastAsia" w:ascii="宋体" w:hAnsi="宋体"/>
                <w:sz w:val="28"/>
                <w:szCs w:val="28"/>
              </w:rPr>
              <w:t xml:space="preserve">偏离</w:t>
            </w:r>
            <w:r/>
          </w:p>
        </w:tc>
        <w:tc>
          <w:tcPr>
            <w:tcW w:w="5987" w:type="dxa"/>
            <w:vAlign w:val="center"/>
            <w:textDirection w:val="lrTb"/>
            <w:noWrap w:val="false"/>
          </w:tcPr>
          <w:p>
            <w:pPr>
              <w:pStyle w:val="649"/>
              <w:spacing w:line="320" w:lineRule="exact"/>
              <w:rPr>
                <w:rFonts w:ascii="宋体"/>
                <w:sz w:val="28"/>
                <w:szCs w:val="28"/>
                <w:highlight w:val="yellow"/>
              </w:rPr>
            </w:pPr>
            <w:r/>
            <w:bookmarkStart w:id="49" w:name="FBfe800446baa24252acf6b14953dc4897"/>
            <w:r/>
            <w:bookmarkEnd w:id="49"/>
            <w:r/>
            <w:bookmarkStart w:id="50" w:name="FEfe800446baa24252acf6b14953dc4897"/>
            <w:r/>
            <w:bookmarkEnd w:id="50"/>
            <w:r>
              <w:rPr>
                <w:rFonts w:hint="eastAsia" w:ascii="宋体"/>
                <w:sz w:val="28"/>
                <w:szCs w:val="28"/>
              </w:rPr>
              <w:t xml:space="preserve">第五章采购需求不允许负偏离</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highlight w:val="yellow"/>
              </w:rPr>
            </w:pPr>
            <w:r/>
            <w:bookmarkStart w:id="51" w:name="EB35ced2e8f8364f63a510bf246ff979f0"/>
            <w:r/>
            <w:bookmarkEnd w:id="51"/>
            <w:r>
              <w:rPr>
                <w:rFonts w:hint="eastAsia" w:ascii="宋体" w:hAnsi="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sz w:val="28"/>
                <w:szCs w:val="28"/>
              </w:rPr>
            </w:pPr>
            <w:r>
              <w:rPr>
                <w:rFonts w:hint="eastAsia" w:ascii="宋体" w:hAnsi="宋体"/>
                <w:sz w:val="28"/>
                <w:highlight w:val="none"/>
              </w:rPr>
              <w:t xml:space="preserve">202</w:t>
            </w:r>
            <w:r>
              <w:rPr>
                <w:rFonts w:hint="eastAsia" w:ascii="宋体" w:hAnsi="宋体"/>
                <w:sz w:val="28"/>
                <w:highlight w:val="none"/>
                <w:lang w:val="en-US" w:eastAsia="zh-CN"/>
              </w:rPr>
              <w:t xml:space="preserve">6</w:t>
            </w:r>
            <w:r>
              <w:rPr>
                <w:rFonts w:hint="eastAsia" w:ascii="宋体" w:hAnsi="宋体"/>
                <w:sz w:val="28"/>
                <w:highlight w:val="none"/>
              </w:rPr>
              <w:t xml:space="preserve">年</w:t>
            </w:r>
            <w:r>
              <w:rPr>
                <w:rFonts w:hint="eastAsia" w:ascii="宋体" w:hAnsi="宋体"/>
                <w:sz w:val="28"/>
                <w:highlight w:val="none"/>
                <w:lang w:val="en-US" w:eastAsia="zh-CN"/>
              </w:rPr>
              <w:t xml:space="preserve">02</w:t>
            </w:r>
            <w:r>
              <w:rPr>
                <w:rFonts w:hint="eastAsia" w:ascii="宋体" w:hAnsi="宋体"/>
                <w:sz w:val="28"/>
                <w:highlight w:val="none"/>
              </w:rPr>
              <w:t xml:space="preserve">月</w:t>
            </w:r>
            <w:r>
              <w:rPr>
                <w:rFonts w:hint="eastAsia" w:ascii="宋体" w:hAnsi="宋体"/>
                <w:sz w:val="28"/>
                <w:highlight w:val="none"/>
                <w:lang w:val="en-US" w:eastAsia="zh-CN"/>
              </w:rPr>
              <w:t xml:space="preserve">05</w:t>
            </w:r>
            <w:r>
              <w:rPr>
                <w:rFonts w:hint="eastAsia" w:ascii="宋体" w:hAnsi="宋体"/>
                <w:sz w:val="28"/>
                <w:highlight w:val="none"/>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2" w:name="EB72e20e40757d438698d0d924b6237fcc"/>
            <w:r/>
            <w:bookmarkEnd w:id="52"/>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Arial" w:hAnsi="Arial" w:eastAsia="Arial"/>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开标活动将在招标公告中规定的时间和地点进行。供应商应当按照</w:t>
            </w:r>
            <w:r>
              <w:rPr>
                <w:rFonts w:hint="eastAsia" w:ascii="宋体" w:hAnsi="宋体"/>
                <w:b/>
                <w:color w:val="ff0000"/>
                <w:sz w:val="28"/>
                <w:szCs w:val="28"/>
              </w:rPr>
              <w:t xml:space="preserve">《江苏省政府采购管理交易系统（苏采云）供应商操作手册》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w:t>
            </w:r>
            <w:r/>
          </w:p>
        </w:tc>
      </w:tr>
      <w:tr>
        <w:trPr>
          <w:jc w:val="center"/>
          <w:trHeight w:val="42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中标公告媒介</w:t>
            </w:r>
            <w:r/>
          </w:p>
        </w:tc>
        <w:tc>
          <w:tcPr>
            <w:tcW w:w="5987"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江苏政府采购网（</w:t>
            </w:r>
            <w:r>
              <w:rPr>
                <w:rFonts w:ascii="宋体" w:hAnsi="宋体"/>
                <w:sz w:val="28"/>
                <w:szCs w:val="28"/>
              </w:rPr>
              <w:t xml:space="preserve">www.ccgp-jiangsu.gov.cn</w:t>
            </w:r>
            <w:r>
              <w:rPr>
                <w:rFonts w:hint="eastAsia" w:ascii="宋体" w:hAnsi="宋体"/>
                <w:sz w:val="28"/>
                <w:szCs w:val="28"/>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40" w:lineRule="exact"/>
              <w:rPr>
                <w:rFonts w:ascii="宋体" w:hAnsi="宋体"/>
                <w:sz w:val="28"/>
                <w:szCs w:val="28"/>
              </w:rPr>
            </w:pPr>
            <w:r>
              <w:rPr>
                <w:rFonts w:hint="eastAsia" w:ascii="宋体" w:hAnsi="宋体"/>
                <w:sz w:val="28"/>
                <w:szCs w:val="28"/>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rPr>
              <w:t xml:space="preserve">15</w:t>
            </w:r>
            <w:r>
              <w:rPr>
                <w:rFonts w:ascii="宋体" w:hAnsi="宋体"/>
                <w:sz w:val="28"/>
                <w:szCs w:val="28"/>
                <w:u w:val="single"/>
              </w:rPr>
              <w:t xml:space="preserve"> </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9.3</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落实政府采购政策</w:t>
            </w:r>
            <w:r/>
          </w:p>
        </w:tc>
        <w:tc>
          <w:tcPr>
            <w:gridSpan w:val="2"/>
            <w:tcW w:w="6018" w:type="dxa"/>
            <w:vAlign w:val="top"/>
            <w:textDirection w:val="lrTb"/>
            <w:noWrap w:val="false"/>
          </w:tcPr>
          <w:p>
            <w:pPr>
              <w:pStyle w:val="709"/>
              <w:spacing w:line="380" w:lineRule="exact"/>
              <w:rPr>
                <w:rFonts w:ascii="宋体" w:hAnsi="宋体"/>
                <w:color w:val="ff0000"/>
                <w:sz w:val="28"/>
                <w:szCs w:val="28"/>
              </w:rPr>
            </w:pPr>
            <w:r>
              <w:rPr>
                <w:rFonts w:hint="eastAsia" w:ascii="宋体" w:hAnsi="宋体"/>
                <w:color w:val="auto"/>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9.4</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供应商应仔细阅读和充分理解招标文件的采购需求和合同主要条款，根据自身实际情况并综合考虑合同履行过程中的各类风险</w:t>
            </w:r>
            <w:r>
              <w:rPr>
                <w:rFonts w:hint="eastAsia" w:ascii="宋体" w:hAnsi="宋体"/>
                <w:color w:val="000000"/>
                <w:sz w:val="28"/>
                <w:szCs w:val="28"/>
              </w:rPr>
              <w:t xml:space="preserve">，</w:t>
            </w:r>
            <w:r>
              <w:rPr>
                <w:rFonts w:ascii="宋体" w:hAnsi="宋体"/>
                <w:color w:val="000000"/>
                <w:sz w:val="28"/>
                <w:szCs w:val="28"/>
              </w:rPr>
              <w:t xml:space="preserve">理性报价。</w:t>
            </w:r>
            <w:r/>
          </w:p>
          <w:p>
            <w:pPr>
              <w:jc w:val="left"/>
              <w:spacing w:line="36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中标价格即为合同价格</w:t>
            </w:r>
            <w:r>
              <w:rPr>
                <w:rFonts w:hint="eastAsia" w:ascii="宋体" w:hAnsi="宋体"/>
                <w:color w:val="000000"/>
                <w:sz w:val="28"/>
                <w:szCs w:val="28"/>
              </w:rPr>
              <w:t xml:space="preserve">，</w:t>
            </w:r>
            <w:r>
              <w:rPr>
                <w:rFonts w:ascii="宋体" w:hAnsi="宋体"/>
                <w:color w:val="000000"/>
                <w:sz w:val="28"/>
                <w:szCs w:val="28"/>
              </w:rPr>
              <w:t xml:space="preserve">在合同期内不予调增</w:t>
            </w:r>
            <w:r>
              <w:rPr>
                <w:rFonts w:hint="eastAsia" w:ascii="宋体" w:hAnsi="宋体"/>
                <w:color w:val="000000"/>
                <w:sz w:val="28"/>
                <w:szCs w:val="28"/>
              </w:rPr>
              <w:t xml:space="preserve">。</w:t>
            </w:r>
            <w:r/>
          </w:p>
          <w:p>
            <w:pPr>
              <w:jc w:val="left"/>
              <w:spacing w:line="360" w:lineRule="exact"/>
              <w:rPr>
                <w:rFonts w:ascii="Arial" w:hAnsi="Arial" w:eastAsia="Arial"/>
                <w:b/>
                <w:color w:val="ff0000"/>
              </w:rPr>
            </w:pPr>
            <w:r>
              <w:rPr>
                <w:rFonts w:hint="eastAsia" w:ascii="宋体" w:hAnsi="宋体"/>
                <w:color w:val="000000"/>
                <w:sz w:val="28"/>
                <w:szCs w:val="28"/>
              </w:rPr>
              <w:t xml:space="preserve">3.异常的低价可能会导致投标无效。</w:t>
            </w:r>
            <w:r/>
          </w:p>
        </w:tc>
      </w:tr>
    </w:tbl>
    <w:p>
      <w:pPr>
        <w:spacing w:line="490" w:lineRule="exact"/>
        <w:rPr>
          <w:rFonts w:ascii="黑体" w:hAnsi="黑体" w:eastAsia="黑体"/>
          <w:sz w:val="32"/>
          <w:szCs w:val="32"/>
        </w:rPr>
      </w:pPr>
      <w:r/>
      <w:bookmarkStart w:id="53" w:name="_Toc426469871"/>
      <w:r/>
      <w:bookmarkStart w:id="54" w:name="_Toc367784995"/>
      <w:r>
        <w:rPr>
          <w:rFonts w:ascii="黑体" w:hAnsi="黑体" w:eastAsia="黑体"/>
          <w:sz w:val="32"/>
          <w:szCs w:val="32"/>
        </w:rPr>
        <w:t xml:space="preserve">1.</w:t>
      </w:r>
      <w:r>
        <w:rPr>
          <w:rFonts w:hint="eastAsia" w:ascii="黑体" w:hAnsi="黑体" w:eastAsia="黑体"/>
          <w:sz w:val="32"/>
          <w:szCs w:val="32"/>
        </w:rPr>
        <w:t xml:space="preserve">总则</w:t>
      </w:r>
      <w:bookmarkEnd w:id="53"/>
      <w:r/>
      <w:bookmarkEnd w:id="54"/>
      <w:r/>
      <w:r/>
    </w:p>
    <w:p>
      <w:pPr>
        <w:spacing w:line="490" w:lineRule="exact"/>
        <w:rPr>
          <w:rFonts w:ascii="楷体" w:hAnsi="楷体" w:eastAsia="楷体"/>
          <w:b/>
          <w:sz w:val="28"/>
          <w:szCs w:val="28"/>
        </w:rPr>
      </w:pPr>
      <w:r/>
      <w:bookmarkStart w:id="55" w:name="_Toc179632547"/>
      <w:r/>
      <w:bookmarkStart w:id="56" w:name="_Toc247085690"/>
      <w:r/>
      <w:bookmarkStart w:id="57" w:name="_Toc343525506"/>
      <w:r/>
      <w:bookmarkStart w:id="58" w:name="_Toc426469872"/>
      <w:r/>
      <w:bookmarkStart w:id="59" w:name="_Toc246996919"/>
      <w:r/>
      <w:bookmarkStart w:id="60" w:name="_Toc383438593"/>
      <w:r/>
      <w:bookmarkStart w:id="61" w:name="_Toc246996176"/>
      <w:r/>
      <w:bookmarkStart w:id="62" w:name="_Toc144974498"/>
      <w:r/>
      <w:bookmarkStart w:id="63" w:name="_Toc152042306"/>
      <w:r/>
      <w:bookmarkStart w:id="64" w:name="_Toc152045530"/>
      <w:r/>
      <w:bookmarkStart w:id="65"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55"/>
      <w:r/>
      <w:bookmarkEnd w:id="56"/>
      <w:r/>
      <w:bookmarkEnd w:id="57"/>
      <w:r/>
      <w:bookmarkEnd w:id="58"/>
      <w:r/>
      <w:bookmarkEnd w:id="59"/>
      <w:r/>
      <w:bookmarkEnd w:id="60"/>
      <w:r/>
      <w:bookmarkEnd w:id="61"/>
      <w:r/>
      <w:bookmarkEnd w:id="62"/>
      <w:r/>
      <w:bookmarkEnd w:id="63"/>
      <w:r/>
      <w:bookmarkEnd w:id="64"/>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招标人：见供应商须知前附表。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采购代理机构：见供应商须知前附表。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项目名称及项目编号：见供应商须知前附表。</w:t>
      </w:r>
      <w:r/>
    </w:p>
    <w:p>
      <w:pPr>
        <w:spacing w:line="490" w:lineRule="exact"/>
        <w:rPr>
          <w:rFonts w:ascii="楷体" w:hAnsi="楷体" w:eastAsia="楷体"/>
          <w:b/>
          <w:sz w:val="28"/>
          <w:szCs w:val="28"/>
        </w:rPr>
      </w:pPr>
      <w:r/>
      <w:bookmarkStart w:id="66" w:name="_Toc179632548"/>
      <w:r/>
      <w:bookmarkStart w:id="67" w:name="_Toc247085691"/>
      <w:r/>
      <w:bookmarkStart w:id="68" w:name="_Toc383438594"/>
      <w:r/>
      <w:bookmarkStart w:id="69" w:name="_Toc152045531"/>
      <w:r/>
      <w:bookmarkStart w:id="70" w:name="_Toc144974499"/>
      <w:r/>
      <w:bookmarkStart w:id="71" w:name="_Toc426469873"/>
      <w:r/>
      <w:bookmarkStart w:id="72" w:name="_Toc246996177"/>
      <w:r/>
      <w:bookmarkStart w:id="73" w:name="_Toc152042307"/>
      <w:r/>
      <w:bookmarkStart w:id="74" w:name="_Toc343525507"/>
      <w:r/>
      <w:bookmarkStart w:id="75" w:name="_Toc246996920"/>
      <w:r>
        <w:rPr>
          <w:rFonts w:ascii="楷体" w:hAnsi="楷体" w:eastAsia="楷体"/>
          <w:b/>
          <w:sz w:val="28"/>
          <w:szCs w:val="28"/>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付款方式：见供应商须知前附表。</w:t>
      </w:r>
      <w:r/>
    </w:p>
    <w:p>
      <w:pPr>
        <w:spacing w:line="490" w:lineRule="exact"/>
        <w:rPr>
          <w:rFonts w:ascii="楷体" w:hAnsi="楷体" w:eastAsia="楷体"/>
          <w:b/>
          <w:sz w:val="28"/>
          <w:szCs w:val="28"/>
        </w:rPr>
      </w:pPr>
      <w:r/>
      <w:bookmarkStart w:id="76" w:name="_Toc343525508"/>
      <w:r/>
      <w:bookmarkStart w:id="77" w:name="_Toc152042308"/>
      <w:r/>
      <w:bookmarkStart w:id="78" w:name="_Toc144974500"/>
      <w:r/>
      <w:bookmarkStart w:id="79" w:name="_Toc383438595"/>
      <w:r/>
      <w:bookmarkStart w:id="80" w:name="_Toc179632549"/>
      <w:r/>
      <w:bookmarkStart w:id="81" w:name="_Toc246996921"/>
      <w:r/>
      <w:bookmarkStart w:id="82" w:name="_Toc246996178"/>
      <w:r/>
      <w:bookmarkStart w:id="83" w:name="_Toc152045532"/>
      <w:r/>
      <w:bookmarkStart w:id="84" w:name="_Toc247085692"/>
      <w:r/>
      <w:bookmarkStart w:id="85" w:name="_Toc426469874"/>
      <w:r>
        <w:rPr>
          <w:rFonts w:ascii="楷体" w:hAnsi="楷体" w:eastAsia="楷体"/>
          <w:b/>
          <w:sz w:val="28"/>
          <w:szCs w:val="28"/>
        </w:rPr>
        <w:t xml:space="preserve">1.3 </w:t>
      </w:r>
      <w:bookmarkEnd w:id="76"/>
      <w:r/>
      <w:bookmarkEnd w:id="77"/>
      <w:r/>
      <w:bookmarkEnd w:id="78"/>
      <w:r/>
      <w:bookmarkEnd w:id="79"/>
      <w:r/>
      <w:bookmarkEnd w:id="80"/>
      <w:r/>
      <w:bookmarkEnd w:id="81"/>
      <w:r/>
      <w:bookmarkEnd w:id="82"/>
      <w:r/>
      <w:bookmarkEnd w:id="83"/>
      <w:r/>
      <w:bookmarkEnd w:id="84"/>
      <w:r>
        <w:rPr>
          <w:rFonts w:hint="eastAsia" w:ascii="楷体" w:hAnsi="楷体" w:eastAsia="楷体"/>
          <w:b/>
          <w:sz w:val="28"/>
          <w:szCs w:val="28"/>
        </w:rPr>
        <w:t xml:space="preserve">采购范围</w:t>
      </w:r>
      <w:bookmarkEnd w:id="85"/>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采购范围：见供应商须知前附表。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合同履行期限：见供应商须知前附表。</w:t>
      </w:r>
      <w:r/>
    </w:p>
    <w:p>
      <w:pPr>
        <w:spacing w:line="490" w:lineRule="exact"/>
        <w:rPr>
          <w:rFonts w:ascii="楷体" w:hAnsi="楷体" w:eastAsia="楷体"/>
          <w:b/>
          <w:sz w:val="28"/>
          <w:szCs w:val="28"/>
        </w:rPr>
      </w:pPr>
      <w:r/>
      <w:bookmarkStart w:id="86" w:name="_Toc343525509"/>
      <w:r/>
      <w:bookmarkStart w:id="87" w:name="_Toc426469875"/>
      <w:r/>
      <w:bookmarkStart w:id="88" w:name="_Toc247085693"/>
      <w:r/>
      <w:bookmarkStart w:id="89" w:name="_Toc246996179"/>
      <w:r/>
      <w:bookmarkStart w:id="90" w:name="_Toc152045534"/>
      <w:r/>
      <w:bookmarkStart w:id="91" w:name="_Toc246996922"/>
      <w:r/>
      <w:bookmarkStart w:id="92" w:name="_Toc383438596"/>
      <w:r/>
      <w:bookmarkStart w:id="93" w:name="_Toc144974502"/>
      <w:r/>
      <w:bookmarkStart w:id="94" w:name="_Toc179632551"/>
      <w:r/>
      <w:bookmarkStart w:id="95" w:name="_Toc152042310"/>
      <w:r>
        <w:rPr>
          <w:rFonts w:ascii="楷体" w:hAnsi="楷体" w:eastAsia="楷体"/>
          <w:b/>
          <w:sz w:val="28"/>
          <w:szCs w:val="28"/>
        </w:rPr>
        <w:t xml:space="preserve">1.4 </w:t>
      </w:r>
      <w:r>
        <w:rPr>
          <w:rFonts w:hint="eastAsia" w:ascii="楷体" w:hAnsi="楷体" w:eastAsia="楷体"/>
          <w:b/>
          <w:sz w:val="28"/>
          <w:szCs w:val="28"/>
        </w:rPr>
        <w:t xml:space="preserve">供应商资格要求</w:t>
      </w:r>
      <w:bookmarkEnd w:id="86"/>
      <w:r/>
      <w:bookmarkEnd w:id="87"/>
      <w:r/>
      <w:bookmarkEnd w:id="88"/>
      <w:r/>
      <w:bookmarkEnd w:id="89"/>
      <w:r/>
      <w:bookmarkEnd w:id="90"/>
      <w:r/>
      <w:bookmarkEnd w:id="91"/>
      <w:r/>
      <w:bookmarkEnd w:id="92"/>
      <w:r/>
      <w:bookmarkEnd w:id="93"/>
      <w:r/>
      <w:bookmarkEnd w:id="94"/>
      <w:r/>
      <w:bookmarkEnd w:id="95"/>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供应商参加政府采购活动应当具备下列条件：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ind w:firstLine="560"/>
        <w:spacing w:line="490" w:lineRule="exact"/>
        <w:rPr>
          <w:rFonts w:ascii="宋体"/>
          <w:sz w:val="28"/>
          <w:szCs w:val="28"/>
        </w:rPr>
      </w:pPr>
      <w:r>
        <w:rPr>
          <w:rFonts w:ascii="宋体" w:hAnsi="宋体"/>
          <w:sz w:val="28"/>
          <w:szCs w:val="28"/>
        </w:rPr>
        <w:t xml:space="preserve">1.4.2</w:t>
      </w:r>
      <w:r>
        <w:rPr>
          <w:rFonts w:hint="eastAsia" w:ascii="宋体" w:hAnsi="宋体"/>
          <w:sz w:val="28"/>
          <w:szCs w:val="28"/>
        </w:rPr>
        <w:t xml:space="preserve"> </w:t>
      </w:r>
      <w:r>
        <w:rPr>
          <w:rFonts w:hint="eastAsia" w:ascii="宋体" w:hAnsi="宋体" w:cs="宋体"/>
          <w:sz w:val="28"/>
          <w:szCs w:val="28"/>
        </w:rPr>
        <w:t xml:space="preserve">根据采购项目特殊要求，要求供应商具备的特定条件：见供应商须知前附表。</w:t>
      </w:r>
      <w:r/>
    </w:p>
    <w:p>
      <w:pPr>
        <w:ind w:firstLine="560"/>
        <w:spacing w:line="490" w:lineRule="exact"/>
        <w:rPr>
          <w:rFonts w:ascii="宋体"/>
          <w:sz w:val="28"/>
          <w:szCs w:val="28"/>
        </w:rPr>
      </w:pPr>
      <w:r>
        <w:rPr>
          <w:rFonts w:ascii="宋体" w:hAnsi="宋体"/>
          <w:sz w:val="28"/>
          <w:szCs w:val="28"/>
        </w:rPr>
        <w:t xml:space="preserve">1.4.3</w:t>
      </w:r>
      <w:r>
        <w:rPr>
          <w:rFonts w:hint="eastAsia" w:ascii="宋体" w:hAnsi="宋体"/>
          <w:sz w:val="28"/>
          <w:szCs w:val="28"/>
        </w:rPr>
        <w:t xml:space="preserve"> </w:t>
      </w:r>
      <w:r>
        <w:rPr>
          <w:rFonts w:hint="eastAsia" w:ascii="宋体" w:hAnsi="宋体" w:cs="宋体"/>
          <w:sz w:val="28"/>
          <w:szCs w:val="28"/>
        </w:rPr>
        <w:t xml:space="preserve">供应商不得存在下列情形之一：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96" w:name="_Toc426469876"/>
      <w:r/>
      <w:bookmarkStart w:id="97" w:name="_Toc152042311"/>
      <w:r/>
      <w:bookmarkStart w:id="98" w:name="_Toc383438597"/>
      <w:r/>
      <w:bookmarkStart w:id="99" w:name="_Toc246996923"/>
      <w:r/>
      <w:bookmarkStart w:id="100" w:name="_Toc247085694"/>
      <w:r/>
      <w:bookmarkStart w:id="101" w:name="_Toc144974503"/>
      <w:r/>
      <w:bookmarkStart w:id="102" w:name="_Toc343525510"/>
      <w:r/>
      <w:bookmarkStart w:id="103" w:name="_Toc246996180"/>
      <w:r/>
      <w:bookmarkStart w:id="104" w:name="_Toc179632552"/>
      <w:r/>
      <w:bookmarkStart w:id="105" w:name="_Toc152045535"/>
      <w:r>
        <w:rPr>
          <w:rFonts w:ascii="楷体" w:hAnsi="楷体" w:eastAsia="楷体"/>
          <w:b/>
          <w:sz w:val="28"/>
          <w:szCs w:val="28"/>
        </w:rPr>
        <w:t xml:space="preserve">1.5</w:t>
      </w:r>
      <w:r>
        <w:rPr>
          <w:rFonts w:hint="eastAsia" w:ascii="楷体" w:hAnsi="楷体" w:eastAsia="楷体"/>
          <w:b/>
          <w:sz w:val="28"/>
          <w:szCs w:val="28"/>
        </w:rPr>
        <w:t xml:space="preserve"> </w:t>
      </w:r>
      <w:r>
        <w:rPr>
          <w:rFonts w:hint="eastAsia" w:ascii="楷体" w:hAnsi="楷体" w:eastAsia="楷体" w:cs="宋体"/>
          <w:b/>
          <w:sz w:val="28"/>
          <w:szCs w:val="28"/>
        </w:rPr>
        <w:t xml:space="preserve">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90" w:lineRule="exact"/>
        <w:rPr>
          <w:rFonts w:ascii="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楷体" w:hAnsi="楷体" w:eastAsia="楷体"/>
          <w:b/>
          <w:sz w:val="28"/>
          <w:szCs w:val="28"/>
        </w:rPr>
      </w:pPr>
      <w:r/>
      <w:bookmarkStart w:id="106" w:name="_Toc144974505"/>
      <w:r/>
      <w:bookmarkStart w:id="107" w:name="_Toc152042313"/>
      <w:r/>
      <w:bookmarkStart w:id="108" w:name="_Toc383438599"/>
      <w:r/>
      <w:bookmarkStart w:id="109" w:name="_Toc179632554"/>
      <w:r/>
      <w:bookmarkStart w:id="110" w:name="_Toc343525512"/>
      <w:r/>
      <w:bookmarkStart w:id="111" w:name="_Toc246996925"/>
      <w:r/>
      <w:bookmarkStart w:id="112" w:name="_Toc426469878"/>
      <w:r/>
      <w:bookmarkStart w:id="113" w:name="_Toc246996182"/>
      <w:r/>
      <w:bookmarkStart w:id="114" w:name="_Toc152045537"/>
      <w:r/>
      <w:bookmarkStart w:id="115" w:name="_Toc247085696"/>
      <w:r>
        <w:rPr>
          <w:rFonts w:ascii="楷体" w:hAnsi="楷体" w:eastAsia="楷体"/>
          <w:b/>
          <w:sz w:val="28"/>
          <w:szCs w:val="28"/>
        </w:rPr>
        <w:t xml:space="preserve">1.</w:t>
      </w:r>
      <w:r>
        <w:rPr>
          <w:rFonts w:hint="eastAsia" w:ascii="楷体" w:hAnsi="楷体" w:eastAsia="楷体"/>
          <w:b/>
          <w:sz w:val="28"/>
          <w:szCs w:val="28"/>
        </w:rPr>
        <w:t xml:space="preserve">6 </w:t>
      </w:r>
      <w:r>
        <w:rPr>
          <w:rFonts w:hint="eastAsia" w:ascii="楷体" w:hAnsi="楷体" w:eastAsia="楷体" w:cs="宋体"/>
          <w:b/>
          <w:sz w:val="28"/>
          <w:szCs w:val="28"/>
        </w:rPr>
        <w:t xml:space="preserve">语言</w:t>
      </w:r>
      <w:bookmarkEnd w:id="106"/>
      <w:r>
        <w:rPr>
          <w:rFonts w:hint="eastAsia" w:ascii="楷体" w:hAnsi="楷体" w:eastAsia="楷体" w:cs="宋体"/>
          <w:b/>
          <w:sz w:val="28"/>
          <w:szCs w:val="28"/>
        </w:rPr>
        <w:t xml:space="preserve">文字</w:t>
      </w:r>
      <w:bookmarkEnd w:id="107"/>
      <w:r/>
      <w:bookmarkEnd w:id="108"/>
      <w:r/>
      <w:bookmarkEnd w:id="109"/>
      <w:r/>
      <w:bookmarkEnd w:id="110"/>
      <w:r/>
      <w:bookmarkEnd w:id="111"/>
      <w:r/>
      <w:bookmarkEnd w:id="112"/>
      <w:r/>
      <w:bookmarkEnd w:id="113"/>
      <w:r/>
      <w:bookmarkEnd w:id="114"/>
      <w:r/>
      <w:bookmarkEnd w:id="115"/>
      <w:r/>
      <w:r/>
    </w:p>
    <w:p>
      <w:pPr>
        <w:ind w:firstLine="560"/>
        <w:spacing w:line="490" w:lineRule="exact"/>
        <w:rPr>
          <w:rFonts w:ascii="宋体"/>
          <w:sz w:val="28"/>
          <w:szCs w:val="28"/>
        </w:rPr>
      </w:pPr>
      <w:r/>
      <w:bookmarkStart w:id="116" w:name="_Toc246996926"/>
      <w:r/>
      <w:bookmarkStart w:id="117" w:name="_Toc152045538"/>
      <w:r/>
      <w:bookmarkStart w:id="118" w:name="_Toc247085697"/>
      <w:r/>
      <w:bookmarkStart w:id="119" w:name="_Toc246996183"/>
      <w:r/>
      <w:bookmarkStart w:id="120" w:name="_Toc152042314"/>
      <w:r/>
      <w:bookmarkStart w:id="121" w:name="_Toc179632555"/>
      <w:r/>
      <w:bookmarkStart w:id="122" w:name="_Toc144974506"/>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23" w:name="_Toc426469879"/>
      <w:r/>
      <w:bookmarkStart w:id="124" w:name="_Toc343525513"/>
      <w:r/>
      <w:bookmarkStart w:id="125" w:name="_Toc383438600"/>
      <w:r>
        <w:rPr>
          <w:rFonts w:ascii="楷体" w:hAnsi="楷体" w:eastAsia="楷体"/>
          <w:b/>
          <w:sz w:val="28"/>
          <w:szCs w:val="28"/>
        </w:rPr>
        <w:t xml:space="preserve">1.</w:t>
      </w:r>
      <w:r>
        <w:rPr>
          <w:rFonts w:hint="eastAsia" w:ascii="楷体" w:hAnsi="楷体" w:eastAsia="楷体"/>
          <w:b/>
          <w:sz w:val="28"/>
          <w:szCs w:val="28"/>
        </w:rPr>
        <w:t xml:space="preserve">7</w:t>
      </w:r>
      <w:r>
        <w:rPr>
          <w:rFonts w:ascii="楷体" w:hAnsi="楷体" w:eastAsia="楷体"/>
          <w:b/>
          <w:sz w:val="28"/>
          <w:szCs w:val="28"/>
        </w:rPr>
        <w:t xml:space="preserve"> </w:t>
      </w:r>
      <w:r>
        <w:rPr>
          <w:rFonts w:hint="eastAsia" w:ascii="楷体" w:hAnsi="楷体" w:eastAsia="楷体" w:cs="宋体"/>
          <w:b/>
          <w:sz w:val="28"/>
          <w:szCs w:val="28"/>
        </w:rPr>
        <w:t xml:space="preserve">计量单位</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26" w:name="_Toc426469881"/>
      <w:r>
        <w:rPr>
          <w:rFonts w:ascii="楷体" w:hAnsi="楷体" w:eastAsia="楷体"/>
          <w:b/>
          <w:sz w:val="28"/>
          <w:szCs w:val="28"/>
        </w:rPr>
        <w:t xml:space="preserve">1.</w:t>
      </w:r>
      <w:r>
        <w:rPr>
          <w:rFonts w:hint="eastAsia" w:ascii="楷体" w:hAnsi="楷体" w:eastAsia="楷体"/>
          <w:b/>
          <w:sz w:val="28"/>
          <w:szCs w:val="28"/>
        </w:rPr>
        <w:t xml:space="preserve">8 </w:t>
      </w:r>
      <w:r>
        <w:rPr>
          <w:rFonts w:hint="eastAsia" w:ascii="楷体" w:hAnsi="楷体" w:eastAsia="楷体" w:cs="宋体"/>
          <w:b/>
          <w:sz w:val="28"/>
          <w:szCs w:val="28"/>
        </w:rPr>
        <w:t xml:space="preserve">偏离</w:t>
      </w:r>
      <w:bookmarkEnd w:id="126"/>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sz w:val="28"/>
          <w:szCs w:val="28"/>
        </w:rPr>
        <w:t xml:space="preserve"> </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sz w:val="28"/>
          <w:szCs w:val="28"/>
        </w:rPr>
        <w:t xml:space="preserve"> </w:t>
      </w:r>
      <w:r>
        <w:rPr>
          <w:rFonts w:hint="eastAsia" w:ascii="宋体" w:hAnsi="宋体" w:cs="宋体"/>
          <w:sz w:val="28"/>
          <w:szCs w:val="28"/>
        </w:rPr>
        <w:t xml:space="preserve">偏离的具体要求见供应商须知前附表。</w:t>
      </w:r>
      <w:r/>
    </w:p>
    <w:p>
      <w:pPr>
        <w:spacing w:line="490" w:lineRule="exact"/>
        <w:rPr>
          <w:rFonts w:ascii="黑体" w:hAnsi="黑体" w:eastAsia="黑体"/>
          <w:sz w:val="32"/>
          <w:szCs w:val="32"/>
        </w:rPr>
      </w:pPr>
      <w:r/>
      <w:bookmarkStart w:id="127" w:name="_Toc383438604"/>
      <w:r/>
      <w:bookmarkStart w:id="128" w:name="_Toc343525517"/>
      <w:r/>
      <w:bookmarkStart w:id="129" w:name="_Toc426469882"/>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27"/>
      <w:r/>
      <w:bookmarkEnd w:id="128"/>
      <w:r/>
      <w:bookmarkEnd w:id="129"/>
      <w:r/>
      <w:r/>
    </w:p>
    <w:p>
      <w:pPr>
        <w:spacing w:line="490" w:lineRule="exact"/>
        <w:rPr>
          <w:rFonts w:ascii="楷体" w:hAnsi="楷体" w:eastAsia="楷体"/>
          <w:b/>
          <w:sz w:val="28"/>
          <w:szCs w:val="28"/>
        </w:rPr>
      </w:pPr>
      <w:r/>
      <w:bookmarkStart w:id="130" w:name="_Toc426469883"/>
      <w:r/>
      <w:bookmarkStart w:id="131" w:name="_Toc246996931"/>
      <w:r/>
      <w:bookmarkStart w:id="132" w:name="_Toc152045543"/>
      <w:r/>
      <w:bookmarkStart w:id="133" w:name="_Toc383438605"/>
      <w:r/>
      <w:bookmarkStart w:id="134" w:name="_Toc152042319"/>
      <w:r/>
      <w:bookmarkStart w:id="135" w:name="_Toc179632561"/>
      <w:r/>
      <w:bookmarkStart w:id="136" w:name="_Toc246996188"/>
      <w:r/>
      <w:bookmarkStart w:id="137" w:name="_Toc144974511"/>
      <w:r/>
      <w:bookmarkStart w:id="138" w:name="_Toc343525518"/>
      <w:r/>
      <w:bookmarkStart w:id="139" w:name="_Toc247085702"/>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）供应商须知；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）合同条款及格式；</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rPr>
          <w:rFonts w:ascii="宋体" w:hAnsi="宋体"/>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）投标文件的编制要求及参考格式；</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7</w:t>
      </w:r>
      <w:r>
        <w:rPr>
          <w:rFonts w:hint="eastAsia" w:ascii="宋体" w:hAnsi="宋体" w:cs="宋体"/>
          <w:sz w:val="28"/>
          <w:szCs w:val="28"/>
        </w:rPr>
        <w:t xml:space="preserve">）供应商须知前附表规定的构成招标文件的其他材料。</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sz w:val="28"/>
          <w:szCs w:val="28"/>
        </w:rPr>
        <w:t xml:space="preserve"> </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0" w:name="_Toc152042320"/>
      <w:r/>
      <w:bookmarkStart w:id="141" w:name="_Toc152045544"/>
      <w:r/>
      <w:bookmarkStart w:id="142" w:name="_Toc246996189"/>
      <w:r/>
      <w:bookmarkStart w:id="143" w:name="_Toc144974512"/>
      <w:r/>
      <w:bookmarkStart w:id="144" w:name="_Toc426469884"/>
      <w:r/>
      <w:bookmarkStart w:id="145" w:name="_Toc383438606"/>
      <w:r/>
      <w:bookmarkStart w:id="146" w:name="_Toc179632562"/>
      <w:r/>
      <w:bookmarkStart w:id="147" w:name="_Toc246996932"/>
      <w:r/>
      <w:bookmarkStart w:id="148" w:name="_Toc247085703"/>
      <w:r/>
      <w:bookmarkStart w:id="149" w:name="_Toc343525519"/>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0"/>
      <w:r/>
      <w:bookmarkEnd w:id="141"/>
      <w:r/>
      <w:bookmarkEnd w:id="142"/>
      <w:r/>
      <w:bookmarkEnd w:id="143"/>
      <w:r/>
      <w:bookmarkEnd w:id="144"/>
      <w:r/>
      <w:bookmarkEnd w:id="145"/>
      <w:r/>
      <w:bookmarkEnd w:id="146"/>
      <w:r/>
      <w:bookmarkEnd w:id="147"/>
      <w:r/>
      <w:bookmarkEnd w:id="148"/>
      <w:r/>
      <w:bookmarkEnd w:id="149"/>
      <w:r>
        <w:rPr>
          <w:rFonts w:ascii="楷体" w:hAnsi="楷体" w:eastAsia="楷体"/>
          <w:b/>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0" w:name="_Toc152042321"/>
      <w:r/>
      <w:bookmarkStart w:id="151" w:name="_Toc179632563"/>
      <w:r/>
      <w:bookmarkStart w:id="152" w:name="_Toc383438607"/>
      <w:r/>
      <w:bookmarkStart w:id="153" w:name="_Toc343525520"/>
      <w:r/>
      <w:bookmarkStart w:id="154" w:name="_Toc144974513"/>
      <w:r/>
      <w:bookmarkStart w:id="155" w:name="_Toc247085704"/>
      <w:r/>
      <w:bookmarkStart w:id="156" w:name="_Toc152045545"/>
      <w:r/>
      <w:bookmarkStart w:id="157" w:name="_Toc426469885"/>
      <w:r/>
      <w:bookmarkStart w:id="158" w:name="_Toc246996933"/>
      <w:r/>
      <w:bookmarkStart w:id="159" w:name="_Toc246996190"/>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 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0" w:name="_Toc246996934"/>
      <w:r/>
      <w:bookmarkStart w:id="161" w:name="_Toc144974514"/>
      <w:r/>
      <w:bookmarkStart w:id="162" w:name="_Toc179632564"/>
      <w:r/>
      <w:bookmarkStart w:id="163" w:name="_Toc246996191"/>
      <w:r/>
      <w:bookmarkStart w:id="164" w:name="_Toc152045546"/>
      <w:r/>
      <w:bookmarkStart w:id="165" w:name="_Toc247085705"/>
      <w:r/>
      <w:bookmarkStart w:id="166" w:name="_Toc343525522"/>
      <w:r/>
      <w:bookmarkStart w:id="167" w:name="_Toc383438609"/>
      <w:r/>
      <w:bookmarkStart w:id="168" w:name="_Toc152042322"/>
      <w:r/>
      <w:bookmarkStart w:id="169"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0"/>
      <w:r/>
      <w:bookmarkEnd w:id="161"/>
      <w:r/>
      <w:bookmarkEnd w:id="162"/>
      <w:r/>
      <w:bookmarkEnd w:id="163"/>
      <w:r/>
      <w:bookmarkEnd w:id="164"/>
      <w:r/>
      <w:bookmarkEnd w:id="165"/>
      <w:r/>
      <w:bookmarkEnd w:id="166"/>
      <w:r/>
      <w:bookmarkEnd w:id="167"/>
      <w:r/>
      <w:bookmarkEnd w:id="168"/>
      <w:r>
        <w:rPr>
          <w:rFonts w:hint="eastAsia" w:ascii="黑体" w:hAnsi="黑体" w:eastAsia="黑体" w:cs="宋体"/>
          <w:b/>
          <w:sz w:val="32"/>
          <w:szCs w:val="32"/>
        </w:rPr>
        <w:t xml:space="preserve">文件</w:t>
      </w:r>
      <w:bookmarkEnd w:id="169"/>
      <w:r/>
      <w:r/>
    </w:p>
    <w:p>
      <w:pPr>
        <w:spacing w:line="490" w:lineRule="exact"/>
        <w:rPr>
          <w:rFonts w:ascii="楷体" w:hAnsi="楷体" w:eastAsia="楷体" w:cs="宋体"/>
          <w:b/>
          <w:sz w:val="28"/>
          <w:szCs w:val="28"/>
        </w:rPr>
      </w:pPr>
      <w:r/>
      <w:bookmarkStart w:id="170" w:name="_Toc246996192"/>
      <w:r/>
      <w:bookmarkStart w:id="171" w:name="_Toc343525523"/>
      <w:r/>
      <w:bookmarkStart w:id="172" w:name="_Toc246996935"/>
      <w:r/>
      <w:bookmarkStart w:id="173" w:name="_Toc383438610"/>
      <w:r/>
      <w:bookmarkStart w:id="174" w:name="_Toc152045547"/>
      <w:r/>
      <w:bookmarkStart w:id="175" w:name="_Toc144974515"/>
      <w:r/>
      <w:bookmarkStart w:id="176" w:name="_Toc152042323"/>
      <w:r/>
      <w:bookmarkStart w:id="177" w:name="_Toc179632565"/>
      <w:r/>
      <w:bookmarkStart w:id="178" w:name="_Toc247085706"/>
      <w:r/>
      <w:bookmarkStart w:id="179"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0"/>
      <w:r/>
      <w:bookmarkEnd w:id="171"/>
      <w:r/>
      <w:bookmarkEnd w:id="172"/>
      <w:r/>
      <w:bookmarkEnd w:id="173"/>
      <w:r/>
      <w:bookmarkEnd w:id="174"/>
      <w:r/>
      <w:bookmarkEnd w:id="175"/>
      <w:r/>
      <w:bookmarkEnd w:id="176"/>
      <w:r/>
      <w:bookmarkEnd w:id="177"/>
      <w:r/>
      <w:bookmarkEnd w:id="178"/>
      <w:r>
        <w:rPr>
          <w:rFonts w:hint="eastAsia" w:ascii="楷体" w:hAnsi="楷体" w:eastAsia="楷体" w:cs="宋体"/>
          <w:b/>
          <w:sz w:val="28"/>
          <w:szCs w:val="28"/>
        </w:rPr>
        <w:t xml:space="preserve"> 投标文件的组成</w:t>
      </w:r>
      <w:bookmarkEnd w:id="179"/>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楷体" w:hAnsi="楷体" w:eastAsia="楷体" w:cs="宋体"/>
          <w:b/>
          <w:sz w:val="28"/>
          <w:szCs w:val="28"/>
        </w:rPr>
      </w:pPr>
      <w:r/>
      <w:bookmarkStart w:id="180" w:name="_Toc367785004"/>
      <w:r/>
      <w:bookmarkStart w:id="181" w:name="_Toc426469889"/>
      <w:r>
        <w:rPr>
          <w:rFonts w:ascii="楷体" w:hAnsi="楷体" w:eastAsia="楷体" w:cs="宋体"/>
          <w:b/>
          <w:sz w:val="28"/>
          <w:szCs w:val="28"/>
        </w:rPr>
        <w:t xml:space="preserve">3.2</w:t>
      </w:r>
      <w:bookmarkEnd w:id="180"/>
      <w:r>
        <w:rPr>
          <w:rFonts w:hint="eastAsia" w:ascii="楷体" w:hAnsi="楷体" w:eastAsia="楷体" w:cs="宋体"/>
          <w:b/>
          <w:sz w:val="28"/>
          <w:szCs w:val="28"/>
        </w:rPr>
        <w:t xml:space="preserve"> 投标报价</w:t>
      </w:r>
      <w:bookmarkEnd w:id="181"/>
      <w:r/>
      <w:r/>
    </w:p>
    <w:p>
      <w:pPr>
        <w:ind w:firstLine="560"/>
        <w:spacing w:line="490" w:lineRule="exact"/>
        <w:rPr>
          <w:rFonts w:ascii="宋体" w:hAnsi="宋体" w:cs="宋体"/>
          <w:sz w:val="28"/>
          <w:szCs w:val="28"/>
        </w:rPr>
      </w:pPr>
      <w:r>
        <w:rPr>
          <w:rFonts w:ascii="宋体" w:hAnsi="宋体" w:cs="宋体"/>
          <w:sz w:val="28"/>
          <w:szCs w:val="28"/>
        </w:rPr>
        <w:t xml:space="preserve">3.2.1</w:t>
      </w:r>
      <w:r>
        <w:rPr>
          <w:rFonts w:hint="eastAsia" w:ascii="宋体" w:hAnsi="宋体" w:cs="宋体"/>
          <w:sz w:val="28"/>
          <w:szCs w:val="28"/>
        </w:rPr>
        <w:t xml:space="preserve"> 供应商应按招标文件规定的供货及服务要求、责任范围和合同条件，以人民币进行报价。</w:t>
      </w:r>
      <w:r/>
    </w:p>
    <w:p>
      <w:pPr>
        <w:ind w:firstLine="560"/>
        <w:spacing w:line="490" w:lineRule="exact"/>
        <w:rPr>
          <w:rFonts w:ascii="宋体" w:hAnsi="宋体"/>
          <w:sz w:val="28"/>
          <w:szCs w:val="28"/>
        </w:rPr>
      </w:pPr>
      <w:r>
        <w:rPr>
          <w:rFonts w:ascii="宋体" w:hAnsi="宋体"/>
          <w:sz w:val="28"/>
          <w:szCs w:val="28"/>
        </w:rPr>
        <w:t xml:space="preserve">3.2.2</w:t>
      </w:r>
      <w:r>
        <w:rPr>
          <w:rFonts w:hint="eastAsia" w:ascii="宋体" w:hAnsi="宋体"/>
          <w:sz w:val="28"/>
          <w:szCs w:val="28"/>
        </w:rPr>
        <w:t xml:space="preserve"> </w:t>
      </w:r>
      <w:r>
        <w:rPr>
          <w:rFonts w:ascii="宋体" w:hAnsi="宋体"/>
          <w:sz w:val="28"/>
          <w:szCs w:val="28"/>
        </w:rPr>
        <w:t xml:space="preserve">供应商在投标文件中只能有一个投标报价，且</w:t>
      </w:r>
      <w:r>
        <w:rPr>
          <w:rFonts w:hint="eastAsia" w:ascii="宋体" w:hAnsi="宋体" w:cs="宋体"/>
          <w:sz w:val="28"/>
          <w:szCs w:val="28"/>
        </w:rPr>
        <w:t xml:space="preserve">不得超过招标公告中载明的最高限价。任何包含价格调整要求和条件的投标报价均将视为无效报价。</w:t>
      </w:r>
      <w:r/>
    </w:p>
    <w:p>
      <w:pPr>
        <w:spacing w:line="490" w:lineRule="exact"/>
        <w:rPr>
          <w:rFonts w:ascii="楷体" w:hAnsi="楷体" w:eastAsia="楷体"/>
          <w:b/>
          <w:sz w:val="28"/>
          <w:szCs w:val="28"/>
        </w:rPr>
      </w:pPr>
      <w:r/>
      <w:bookmarkStart w:id="182" w:name="_Toc246996194"/>
      <w:r/>
      <w:bookmarkStart w:id="183" w:name="_Toc343525525"/>
      <w:r/>
      <w:bookmarkStart w:id="184" w:name="_Toc246996937"/>
      <w:r/>
      <w:bookmarkStart w:id="185" w:name="_Toc426469890"/>
      <w:r/>
      <w:bookmarkStart w:id="186" w:name="_Toc179632567"/>
      <w:r/>
      <w:bookmarkStart w:id="187" w:name="_Toc152042325"/>
      <w:r/>
      <w:bookmarkStart w:id="188" w:name="_Toc144974517"/>
      <w:r/>
      <w:bookmarkStart w:id="189" w:name="_Toc152045549"/>
      <w:r/>
      <w:bookmarkStart w:id="190" w:name="_Toc247085708"/>
      <w:r/>
      <w:bookmarkStart w:id="191" w:name="_Toc383438612"/>
      <w:r>
        <w:rPr>
          <w:rFonts w:ascii="楷体" w:hAnsi="楷体" w:eastAsia="楷体"/>
          <w:b/>
          <w:sz w:val="28"/>
          <w:szCs w:val="28"/>
        </w:rPr>
        <w:t xml:space="preserve">3.3</w:t>
      </w:r>
      <w:r>
        <w:rPr>
          <w:rFonts w:hint="eastAsia" w:ascii="楷体" w:hAnsi="楷体" w:eastAsia="楷体"/>
          <w:b/>
          <w:sz w:val="28"/>
          <w:szCs w:val="28"/>
        </w:rPr>
        <w:t xml:space="preserve"> </w:t>
      </w:r>
      <w:r>
        <w:rPr>
          <w:rFonts w:hint="eastAsia" w:ascii="楷体" w:hAnsi="楷体" w:eastAsia="楷体" w:cs="宋体"/>
          <w:b/>
          <w:sz w:val="28"/>
          <w:szCs w:val="28"/>
        </w:rPr>
        <w:t xml:space="preserve">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560"/>
        <w:spacing w:line="490" w:lineRule="exact"/>
        <w:rPr>
          <w:rFonts w:ascii="宋体"/>
          <w:sz w:val="28"/>
          <w:szCs w:val="28"/>
        </w:rPr>
      </w:pPr>
      <w:r>
        <w:rPr>
          <w:rFonts w:ascii="宋体" w:hAnsi="宋体"/>
          <w:sz w:val="28"/>
          <w:szCs w:val="28"/>
        </w:rPr>
        <w:t xml:space="preserve">3.3.1</w:t>
      </w:r>
      <w:r>
        <w:rPr>
          <w:rFonts w:hint="eastAsia" w:ascii="宋体" w:hAnsi="宋体"/>
          <w:sz w:val="28"/>
          <w:szCs w:val="28"/>
        </w:rPr>
        <w:t xml:space="preserve"> </w:t>
      </w:r>
      <w:r>
        <w:rPr>
          <w:rFonts w:ascii="宋体" w:hAnsi="宋体"/>
          <w:sz w:val="28"/>
          <w:szCs w:val="28"/>
        </w:rPr>
        <w:t xml:space="preserve">在</w:t>
      </w:r>
      <w:r>
        <w:rPr>
          <w:rFonts w:hint="eastAsia" w:ascii="宋体" w:hAnsi="宋体" w:cs="宋体"/>
          <w:sz w:val="28"/>
          <w:szCs w:val="28"/>
        </w:rPr>
        <w:t xml:space="preserve">供应商须知前附表规定的投标有效期内，供应商不得要求撤销或修改其投标文件。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sz w:val="28"/>
          <w:szCs w:val="28"/>
        </w:rPr>
        <w:t xml:space="preserve"> </w:t>
      </w:r>
      <w:r>
        <w:rPr>
          <w:rFonts w:hint="eastAsia" w:ascii="宋体" w:hAnsi="宋体" w:cs="宋体"/>
          <w:sz w:val="28"/>
          <w:szCs w:val="28"/>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sz w:val="28"/>
          <w:szCs w:val="28"/>
        </w:rPr>
      </w:pPr>
      <w:r/>
      <w:bookmarkStart w:id="192" w:name="_Toc426469892"/>
      <w:r>
        <w:rPr>
          <w:rFonts w:ascii="楷体" w:hAnsi="楷体" w:eastAsia="楷体"/>
          <w:b/>
          <w:sz w:val="28"/>
          <w:szCs w:val="28"/>
        </w:rPr>
        <w:t xml:space="preserve">3.4</w:t>
      </w:r>
      <w:r>
        <w:rPr>
          <w:rFonts w:hint="eastAsia" w:ascii="楷体" w:hAnsi="楷体" w:eastAsia="楷体"/>
          <w:b/>
          <w:sz w:val="28"/>
          <w:szCs w:val="28"/>
        </w:rPr>
        <w:t xml:space="preserve"> </w:t>
      </w:r>
      <w:r>
        <w:rPr>
          <w:rFonts w:hint="eastAsia" w:ascii="楷体" w:hAnsi="楷体" w:eastAsia="楷体" w:cs="宋体"/>
          <w:b/>
          <w:sz w:val="28"/>
          <w:szCs w:val="28"/>
        </w:rPr>
        <w:t xml:space="preserve">投标文件的编制</w:t>
      </w:r>
      <w:bookmarkEnd w:id="192"/>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sz w:val="28"/>
          <w:szCs w:val="28"/>
        </w:rPr>
        <w:t xml:space="preserve"> </w:t>
      </w:r>
      <w:r>
        <w:rPr>
          <w:rFonts w:hint="eastAsia" w:ascii="宋体" w:hAnsi="宋体" w:cs="宋体"/>
          <w:sz w:val="28"/>
          <w:szCs w:val="28"/>
        </w:rPr>
        <w:t xml:space="preserve">供应商可以按照第六章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 </w:t>
      </w:r>
      <w:r>
        <w:rPr>
          <w:rFonts w:ascii="宋体" w:hAnsi="宋体"/>
          <w:sz w:val="28"/>
          <w:szCs w:val="28"/>
        </w:rPr>
        <w:t xml:space="preserve">供应商应对招标文件中的资格要求、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投标文件的数量：见供应商须知前附表</w:t>
      </w:r>
      <w:r/>
    </w:p>
    <w:p>
      <w:pPr>
        <w:ind w:firstLine="560"/>
        <w:spacing w:line="490" w:lineRule="exact"/>
        <w:rPr>
          <w:rFonts w:ascii="宋体" w:hAnsi="宋体"/>
          <w:sz w:val="28"/>
          <w:szCs w:val="28"/>
        </w:rPr>
      </w:pPr>
      <w:r/>
      <w:bookmarkStart w:id="193" w:name="_Toc426469894"/>
      <w:r/>
      <w:bookmarkStart w:id="194" w:name="_Toc367785016"/>
      <w:r>
        <w:rPr>
          <w:rFonts w:hint="eastAsia" w:ascii="宋体" w:hAnsi="宋体"/>
          <w:sz w:val="28"/>
          <w:szCs w:val="28"/>
        </w:rPr>
        <w:t xml:space="preserve">3.4.4 投标文件的签署：见供应商须知前附表</w:t>
      </w:r>
      <w:bookmarkEnd w:id="65"/>
      <w:r/>
      <w:bookmarkEnd w:id="193"/>
      <w:r/>
      <w:bookmarkEnd w:id="194"/>
      <w:r/>
      <w:r/>
    </w:p>
    <w:p>
      <w:pPr>
        <w:spacing w:line="490" w:lineRule="exact"/>
        <w:rPr>
          <w:rFonts w:ascii="黑体" w:hAnsi="黑体" w:eastAsia="黑体"/>
          <w:sz w:val="32"/>
          <w:szCs w:val="32"/>
        </w:rPr>
      </w:pPr>
      <w:r/>
      <w:bookmarkStart w:id="195" w:name="_Toc179632605"/>
      <w:r/>
      <w:bookmarkStart w:id="196" w:name="_Toc383698648"/>
      <w:r/>
      <w:bookmarkStart w:id="197" w:name="_Toc152042364"/>
      <w:r/>
      <w:bookmarkStart w:id="198" w:name="_Toc383625994"/>
      <w:r/>
      <w:bookmarkStart w:id="199" w:name="_Toc390098841"/>
      <w:r/>
      <w:bookmarkStart w:id="200" w:name="_Toc383679747"/>
      <w:r/>
      <w:bookmarkStart w:id="201" w:name="_Toc247085745"/>
      <w:r/>
      <w:bookmarkStart w:id="202" w:name="_Toc152045587"/>
      <w:r/>
      <w:bookmarkStart w:id="203" w:name="_Toc144974554"/>
      <w:r/>
      <w:bookmarkStart w:id="204" w:name="_Toc383587457"/>
      <w:r/>
      <w:bookmarkStart w:id="205" w:name="_Toc246996973"/>
      <w:r/>
      <w:bookmarkStart w:id="206" w:name="_Toc383438646"/>
      <w:r/>
      <w:bookmarkStart w:id="207" w:name="_Toc390099019"/>
      <w:r/>
      <w:bookmarkStart w:id="208" w:name="_Toc390246906"/>
      <w:r/>
      <w:bookmarkStart w:id="209" w:name="_Toc383623673"/>
      <w:r/>
      <w:bookmarkStart w:id="210" w:name="_Toc246996230"/>
      <w:r/>
      <w:bookmarkStart w:id="211" w:name="_Toc343525562"/>
      <w:r/>
      <w:bookmarkStart w:id="212" w:name="_Toc383623945"/>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开标时间和地点：见供应商须知前附表。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（1）系统登录。供应商应在投标截止时间前登录开标大厅。</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（2）供应商解密投标文件。按照系统内提示，在规定的时间内完成投标文件的解密。</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（3）唱标。</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（4）开标记录确认。</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（1）系统服务器发生故障，无法访问或无法使用系统；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（2）系统的软件或数据库出现错误，不能进行正常操作；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（3）系统发现有安全漏洞，有潜在的泄密危险；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（4）其他无法保证招投标过程公平和信息安全的情形。</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5.3.2因供应商自身原因造成投标文件无法解密的，视为撤销投标文件。</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5.3.3供应商对开标过程和开标记录有疑义的，可向招标人或者采购代理机构提出。</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5.3.4供应商未在开标系统中确认开标结果的，视同认可开标结果。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参加采购活动前三年内,与供应商存在劳动关系,或者担任过供应商的董事、监事,或者是供应商的控股股东或实际控制人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与供应商的法定代表人或者负责人有夫妻、直系血亲、三代以内旁系血亲或者近姻亲关系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与供应商有其他可能影响政府采购活动公平、公正进行的关系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9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9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9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rPr>
          <w:rFonts w:ascii="宋体" w:hAnsi="宋体"/>
          <w:sz w:val="28"/>
          <w:szCs w:val="28"/>
        </w:rPr>
        <w:t xml:space="preserve">  </w:t>
      </w:r>
      <w:r/>
    </w:p>
    <w:p>
      <w:pPr>
        <w:spacing w:line="490" w:lineRule="exact"/>
        <w:rPr>
          <w:rFonts w:ascii="黑体" w:hAnsi="黑体" w:eastAsia="黑体"/>
          <w:sz w:val="32"/>
          <w:szCs w:val="32"/>
        </w:rPr>
      </w:pPr>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9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49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9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40"/>
      <w:r/>
      <w:bookmarkEnd w:id="41"/>
      <w:r/>
      <w:bookmarkEnd w:id="42"/>
      <w:r/>
      <w:bookmarkEnd w:id="43"/>
      <w:r/>
      <w:bookmarkEnd w:id="44"/>
      <w:r/>
      <w:bookmarkEnd w:id="45"/>
      <w:r/>
      <w:bookmarkEnd w:id="46"/>
      <w:r/>
      <w:bookmarkEnd w:id="47"/>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580838"/>
      <w:r/>
      <w:bookmarkEnd w:id="213"/>
      <w:r/>
      <w:bookmarkStart w:id="214" w:name="_Hlt26955056"/>
      <w:r/>
      <w:bookmarkEnd w:id="214"/>
      <w:r/>
      <w:bookmarkStart w:id="215" w:name="_Hlt26782999"/>
      <w:r/>
      <w:bookmarkEnd w:id="215"/>
      <w:r/>
      <w:bookmarkStart w:id="216" w:name="_Hlt24879081"/>
      <w:r/>
      <w:bookmarkEnd w:id="216"/>
      <w:r/>
      <w:bookmarkStart w:id="217" w:name="_Hlt26955064"/>
      <w:r/>
      <w:bookmarkEnd w:id="217"/>
      <w:r/>
      <w:bookmarkStart w:id="218" w:name="_Hlt26609391"/>
      <w:r/>
      <w:bookmarkEnd w:id="218"/>
      <w:r/>
      <w:bookmarkStart w:id="219" w:name="_Hlt26671343"/>
      <w:r/>
      <w:bookmarkEnd w:id="219"/>
      <w:r/>
      <w:bookmarkStart w:id="220" w:name="_Hlt26671372"/>
      <w:r/>
      <w:bookmarkEnd w:id="220"/>
      <w:r/>
      <w:r/>
    </w:p>
    <w:p>
      <w:pPr>
        <w:pStyle w:val="650"/>
        <w:spacing w:line="490" w:lineRule="exact"/>
      </w:pPr>
      <w:r/>
      <w:r/>
    </w:p>
    <w:p>
      <w:pPr>
        <w:pStyle w:val="650"/>
      </w:pPr>
      <w:r/>
      <w:r/>
    </w:p>
    <w:p>
      <w:pPr>
        <w:pStyle w:val="650"/>
      </w:pPr>
      <w:r/>
      <w:r/>
    </w:p>
    <w:p>
      <w:pPr>
        <w:pStyle w:val="650"/>
      </w:pPr>
      <w:r/>
      <w:r/>
    </w:p>
    <w:p>
      <w:pPr>
        <w:pStyle w:val="650"/>
      </w:pPr>
      <w:r/>
      <w:r/>
    </w:p>
    <w:p>
      <w:pPr>
        <w:jc w:val="left"/>
        <w:widowControl/>
      </w:pPr>
      <w:r>
        <w:br w:type="page" w:clear="all"/>
      </w:r>
      <w:r/>
    </w:p>
    <w:p>
      <w:pPr>
        <w:pStyle w:val="708"/>
        <w:ind w:left="-2" w:firstLine="643"/>
        <w:jc w:val="center"/>
        <w:spacing w:line="360" w:lineRule="exact"/>
        <w:rPr>
          <w:rFonts w:ascii="黑体" w:hAnsi="黑体" w:eastAsia="黑体"/>
          <w:b/>
          <w:sz w:val="32"/>
          <w:szCs w:val="32"/>
          <w:highlight w:val="none"/>
        </w:rPr>
        <w:outlineLvl w:val="0"/>
      </w:pPr>
      <w:r>
        <w:rPr>
          <w:rFonts w:hint="eastAsia" w:ascii="黑体" w:hAnsi="黑体" w:eastAsia="黑体"/>
          <w:b/>
          <w:sz w:val="32"/>
          <w:szCs w:val="32"/>
          <w:highlight w:val="none"/>
        </w:rPr>
        <w:t xml:space="preserve">第三章</w:t>
      </w:r>
      <w:r>
        <w:rPr>
          <w:rFonts w:ascii="黑体" w:hAnsi="黑体" w:eastAsia="黑体"/>
          <w:b/>
          <w:sz w:val="32"/>
          <w:szCs w:val="32"/>
          <w:highlight w:val="none"/>
        </w:rPr>
        <w:t xml:space="preserve"> 资格审查及</w:t>
      </w:r>
      <w:r>
        <w:rPr>
          <w:rFonts w:hint="eastAsia" w:ascii="黑体" w:hAnsi="黑体" w:eastAsia="黑体"/>
          <w:b/>
          <w:sz w:val="32"/>
          <w:szCs w:val="32"/>
          <w:highlight w:val="none"/>
        </w:rPr>
        <w:t xml:space="preserve">评标办法</w:t>
      </w:r>
      <w:r/>
    </w:p>
    <w:p>
      <w:pPr>
        <w:keepLines w:val="0"/>
        <w:keepNext w:val="0"/>
        <w:pageBreakBefore w:val="0"/>
        <w:spacing w:line="240" w:lineRule="auto"/>
        <w:widowControl w:val="off"/>
        <w:rPr>
          <w:rFonts w:hint="eastAsia" w:ascii="宋体" w:hAnsi="宋体" w:eastAsia="宋体" w:cs="宋体"/>
          <w:sz w:val="21"/>
          <w:szCs w:val="21"/>
          <w:lang w:val="zh-CN"/>
        </w:rPr>
      </w:pPr>
      <w:r/>
      <w:bookmarkStart w:id="221" w:name="_Toc246996231"/>
      <w:r/>
      <w:bookmarkStart w:id="222" w:name="_Toc144974555"/>
      <w:r/>
      <w:bookmarkStart w:id="223" w:name="_Toc152042365"/>
      <w:r/>
      <w:bookmarkStart w:id="224" w:name="_Toc383438647"/>
      <w:r/>
      <w:bookmarkStart w:id="225" w:name="_Toc246996974"/>
      <w:r/>
      <w:bookmarkStart w:id="226" w:name="_Toc152045588"/>
      <w:r/>
      <w:bookmarkStart w:id="227" w:name="_Toc343525563"/>
      <w:r/>
      <w:bookmarkStart w:id="228" w:name="_Toc179632606"/>
      <w:r/>
      <w:bookmarkStart w:id="229" w:name="_Toc247085746"/>
      <w:r/>
      <w:bookmarkStart w:id="230" w:name="_Toc426469920"/>
      <w:r>
        <w:rPr>
          <w:rFonts w:hint="eastAsia" w:ascii="宋体" w:hAnsi="宋体" w:eastAsia="宋体" w:cs="宋体"/>
          <w:sz w:val="21"/>
          <w:szCs w:val="21"/>
          <w:lang w:val="zh-CN"/>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1" w:name="_Toc152045589"/>
      <w:r/>
      <w:bookmarkStart w:id="232" w:name="_Toc343525564"/>
      <w:r/>
      <w:bookmarkStart w:id="233" w:name="_Toc247085747"/>
      <w:r/>
      <w:bookmarkStart w:id="234" w:name="_Toc144974556"/>
      <w:r/>
      <w:bookmarkStart w:id="235" w:name="_Toc152042366"/>
      <w:r/>
      <w:bookmarkStart w:id="236" w:name="_Toc246996232"/>
      <w:r/>
      <w:bookmarkStart w:id="237" w:name="_Toc246996975"/>
      <w:r/>
      <w:bookmarkStart w:id="238" w:name="_Toc179632607"/>
      <w:r/>
      <w:r/>
    </w:p>
    <w:tbl>
      <w:tblPr>
        <w:tblStyle w:val="645"/>
        <w:tblW w:w="919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85"/>
        <w:gridCol w:w="423"/>
        <w:gridCol w:w="300"/>
        <w:gridCol w:w="2359"/>
        <w:gridCol w:w="5018"/>
        <w:gridCol w:w="713"/>
      </w:tblGrid>
      <w:tr>
        <w:trPr>
          <w:jc w:val="center"/>
          <w:trHeight w:val="481"/>
        </w:trPr>
        <w:tc>
          <w:tcPr>
            <w:gridSpan w:val="2"/>
            <w:tcBorders>
              <w:top w:val="single" w:color="auto" w:sz="6" w:space="0"/>
              <w:left w:val="single" w:color="auto" w:sz="6" w:space="0"/>
              <w:bottom w:val="single" w:color="auto" w:sz="6" w:space="0"/>
              <w:right w:val="single" w:color="auto" w:sz="6" w:space="0"/>
            </w:tcBorders>
            <w:tcW w:w="808"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条款号</w:t>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评审因素</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评审标准</w:t>
            </w:r>
            <w:r/>
          </w:p>
        </w:tc>
      </w:tr>
      <w:tr>
        <w:trPr>
          <w:jc w:val="center"/>
          <w:trHeight w:val="627"/>
        </w:trPr>
        <w:tc>
          <w:tcPr>
            <w:tcBorders>
              <w:top w:val="single" w:color="auto" w:sz="6" w:space="0"/>
              <w:left w:val="single" w:color="auto" w:sz="6" w:space="0"/>
              <w:right w:val="single" w:color="auto" w:sz="6" w:space="0"/>
            </w:tcBorders>
            <w:tcW w:w="385" w:type="dxa"/>
            <w:vAlign w:val="center"/>
            <w:vMerge w:val="restart"/>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w:t>
            </w:r>
            <w:r/>
          </w:p>
        </w:tc>
        <w:tc>
          <w:tcPr>
            <w:tcBorders>
              <w:top w:val="single" w:color="auto" w:sz="6" w:space="0"/>
              <w:left w:val="single" w:color="auto" w:sz="6" w:space="0"/>
              <w:right w:val="single" w:color="auto" w:sz="6" w:space="0"/>
            </w:tcBorders>
            <w:tcW w:w="42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资格审查</w:t>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根据供应商提供的承诺函，内容完整且具有法人及法定代表人的印章。（内容及格式参照第六章）</w:t>
            </w:r>
            <w:r/>
          </w:p>
        </w:tc>
      </w:tr>
      <w:tr>
        <w:trPr>
          <w:jc w:val="center"/>
          <w:trHeight w:val="584"/>
        </w:trPr>
        <w:tc>
          <w:tcPr>
            <w:tcBorders>
              <w:left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left w:val="single" w:color="auto" w:sz="6" w:space="0"/>
              <w:right w:val="single" w:color="auto" w:sz="6" w:space="0"/>
            </w:tcBorders>
            <w:tcW w:w="42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供应商应具备林业调查规划设计资质丙级及以上资质证书</w:t>
            </w:r>
            <w:r/>
          </w:p>
        </w:tc>
      </w:tr>
      <w:tr>
        <w:trPr>
          <w:jc w:val="center"/>
          <w:trHeight w:val="306"/>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460" w:lineRule="exact"/>
              <w:rPr>
                <w:rFonts w:hint="eastAsia" w:ascii="宋体" w:hAnsi="宋体" w:eastAsia="宋体" w:cs="宋体"/>
                <w:b/>
                <w:spacing w:val="-14"/>
              </w:rPr>
            </w:pPr>
            <w:r>
              <w:rPr>
                <w:rFonts w:hint="eastAsia" w:ascii="宋体" w:hAnsi="宋体" w:eastAsia="宋体" w:cs="宋体"/>
                <w:b/>
                <w:spacing w:val="-14"/>
              </w:rPr>
              <w:t xml:space="preserve">1.2项评审内容由采购人负责，投标文件不符合1.2项评审标准的，作无效标处理。</w:t>
            </w:r>
            <w:r/>
          </w:p>
        </w:tc>
      </w:tr>
      <w:tr>
        <w:trPr>
          <w:jc w:val="center"/>
          <w:trHeight w:val="458"/>
        </w:trPr>
        <w:tc>
          <w:tcPr>
            <w:tcBorders>
              <w:top w:val="single" w:color="auto" w:sz="6" w:space="0"/>
              <w:left w:val="single" w:color="auto" w:sz="6" w:space="0"/>
              <w:bottom w:val="single" w:color="auto" w:sz="6" w:space="0"/>
              <w:right w:val="single" w:color="auto" w:sz="6" w:space="0"/>
            </w:tcBorders>
            <w:tcW w:w="385" w:type="dxa"/>
            <w:vAlign w:val="center"/>
            <w:vMerge w:val="restart"/>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pacing w:val="-34"/>
                <w:sz w:val="21"/>
                <w:szCs w:val="21"/>
                <w:lang w:val="zh-CN"/>
              </w:rPr>
              <w:t xml:space="preserve">2.2.2</w:t>
            </w:r>
            <w:r/>
          </w:p>
        </w:tc>
        <w:tc>
          <w:tcPr>
            <w:tcBorders>
              <w:top w:val="single" w:color="auto" w:sz="6" w:space="0"/>
              <w:left w:val="single" w:color="auto" w:sz="6" w:space="0"/>
              <w:bottom w:val="single" w:color="auto" w:sz="6" w:space="0"/>
              <w:right w:val="single" w:color="auto" w:sz="6" w:space="0"/>
            </w:tcBorders>
            <w:tcW w:w="42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合</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性</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评</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审</w:t>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符合第二章第3.4.4项规定</w:t>
            </w:r>
            <w:r/>
          </w:p>
        </w:tc>
      </w:tr>
      <w:tr>
        <w:trPr>
          <w:jc w:val="center"/>
          <w:trHeight w:val="33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423"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报价</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有且只有一个有效报价；未超过采购预算或最高限价</w:t>
            </w:r>
            <w:r/>
          </w:p>
        </w:tc>
      </w:tr>
      <w:tr>
        <w:trPr>
          <w:jc w:val="center"/>
          <w:trHeight w:val="33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423"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符合第二章第1.3.2项规定</w:t>
            </w:r>
            <w:r/>
          </w:p>
        </w:tc>
      </w:tr>
      <w:tr>
        <w:trPr>
          <w:jc w:val="center"/>
          <w:trHeight w:val="408"/>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423"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投标有效期</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符合第二章第3.3.1项规定</w:t>
            </w:r>
            <w:r/>
          </w:p>
        </w:tc>
      </w:tr>
      <w:tr>
        <w:trPr>
          <w:jc w:val="center"/>
          <w:trHeight w:val="34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423"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偏离</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r>
            <w:r>
              <w:rPr>
                <w:rFonts w:hint="default" w:ascii="宋体" w:hAnsi="宋体" w:eastAsia="宋体" w:cs="宋体"/>
                <w:sz w:val="21"/>
                <w:szCs w:val="21"/>
                <w:lang w:val="en-US" w:eastAsia="zh-CN"/>
              </w:rPr>
              <w:t xml:space="preserve">第五章采购需求不允许负偏离</w:t>
            </w:r>
            <w:r>
              <w:rPr>
                <w:rFonts w:hint="default" w:ascii="宋体" w:hAnsi="宋体" w:eastAsia="宋体" w:cs="宋体"/>
                <w:sz w:val="21"/>
                <w:szCs w:val="21"/>
                <w:lang w:val="en-US" w:eastAsia="zh-CN"/>
              </w:rPr>
            </w:r>
            <w:r/>
          </w:p>
        </w:tc>
      </w:tr>
      <w:tr>
        <w:trPr>
          <w:jc w:val="center"/>
          <w:trHeight w:val="376"/>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460" w:lineRule="exact"/>
              <w:rPr>
                <w:rFonts w:hint="eastAsia" w:ascii="宋体" w:hAnsi="宋体" w:eastAsia="宋体" w:cs="宋体"/>
                <w:spacing w:val="-18"/>
              </w:rPr>
            </w:pPr>
            <w:r>
              <w:rPr>
                <w:rFonts w:hint="eastAsia" w:ascii="宋体" w:hAnsi="宋体" w:eastAsia="宋体" w:cs="宋体"/>
                <w:b/>
                <w:spacing w:val="-14"/>
              </w:rPr>
              <w:t xml:space="preserve">2.2.2项评审内容由评标委员会负责，投标文件不符合2.2.2项评审标准的，作无效标处理。</w:t>
            </w:r>
            <w:r/>
          </w:p>
        </w:tc>
      </w:tr>
      <w:tr>
        <w:trPr>
          <w:jc w:val="center"/>
          <w:trHeight w:val="274"/>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b/>
              </w:rPr>
            </w:pPr>
            <w:r>
              <w:rPr>
                <w:rFonts w:hint="eastAsia" w:ascii="宋体" w:hAnsi="宋体" w:eastAsia="宋体" w:cs="宋体"/>
                <w:b/>
                <w:bCs/>
                <w:sz w:val="24"/>
                <w:szCs w:val="24"/>
              </w:rPr>
              <w:t xml:space="preserve">项目</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jc w:val="center"/>
              <w:keepLines w:val="0"/>
              <w:keepNext w:val="0"/>
              <w:pageBreakBefore w:val="0"/>
              <w:spacing w:line="240" w:lineRule="auto"/>
              <w:widowControl w:val="off"/>
              <w:rPr>
                <w:rFonts w:hint="eastAsia" w:ascii="宋体"/>
                <w:b/>
              </w:rPr>
            </w:pPr>
            <w:r>
              <w:rPr>
                <w:rFonts w:hint="eastAsia" w:ascii="宋体" w:hAnsi="宋体" w:eastAsia="宋体" w:cs="宋体"/>
                <w:b/>
                <w:bCs/>
                <w:sz w:val="24"/>
                <w:szCs w:val="24"/>
              </w:rPr>
              <w:t xml:space="preserve">评分内容</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keepLines w:val="0"/>
              <w:keepNext w:val="0"/>
              <w:pageBreakBefore w:val="0"/>
              <w:spacing w:line="240" w:lineRule="auto"/>
              <w:widowControl w:val="off"/>
              <w:rPr>
                <w:rFonts w:hint="eastAsia" w:ascii="宋体"/>
                <w:b/>
              </w:rPr>
            </w:pPr>
            <w:r>
              <w:rPr>
                <w:rFonts w:hint="eastAsia" w:ascii="宋体" w:hAnsi="宋体" w:eastAsia="宋体" w:cs="宋体"/>
                <w:b/>
                <w:bCs/>
                <w:spacing w:val="-28"/>
                <w:sz w:val="24"/>
                <w:szCs w:val="24"/>
              </w:rPr>
              <w:t xml:space="preserve">最高分</w:t>
            </w:r>
            <w:r/>
          </w:p>
        </w:tc>
      </w:tr>
      <w:tr>
        <w:trPr>
          <w:jc w:val="center"/>
          <w:trHeight w:val="274"/>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320" w:lineRule="exact"/>
              <w:rPr>
                <w:rFonts w:hint="eastAsia" w:ascii="宋体"/>
                <w:b/>
              </w:rPr>
            </w:pPr>
            <w:r>
              <w:rPr>
                <w:rFonts w:hint="eastAsia" w:ascii="宋体" w:hAnsi="宋体" w:eastAsia="宋体" w:cs="宋体"/>
                <w:lang w:val="en-US" w:eastAsia="zh-CN"/>
              </w:rPr>
              <w:t xml:space="preserve">价格</w:t>
            </w:r>
            <w:r>
              <w:rPr>
                <w:rFonts w:hint="eastAsia" w:ascii="宋体" w:hAnsi="宋体" w:eastAsia="宋体" w:cs="宋体"/>
              </w:rPr>
              <w:t xml:space="preserve">评审</w:t>
            </w:r>
            <w:r>
              <w:rPr>
                <w:rFonts w:hint="eastAsia" w:ascii="宋体" w:hAnsi="宋体" w:eastAsia="宋体" w:cs="宋体"/>
                <w:bCs/>
                <w:color w:val="000000" w:themeColor="text1"/>
                <w14:textFill>
                  <w14:solidFill>
                    <w14:schemeClr w14:val="tx1"/>
                  </w14:solidFill>
                </w14:textFill>
              </w:rPr>
              <w:t xml:space="preserve">（</w:t>
            </w:r>
            <w:r>
              <w:rPr>
                <w:rFonts w:hint="eastAsia" w:ascii="宋体" w:hAnsi="宋体" w:eastAsia="宋体" w:cs="宋体"/>
                <w:bCs/>
                <w:color w:val="000000" w:themeColor="text1"/>
                <w:lang w:val="en-US" w:eastAsia="zh-CN"/>
                <w14:textFill>
                  <w14:solidFill>
                    <w14:schemeClr w14:val="tx1"/>
                  </w14:solidFill>
                </w14:textFill>
              </w:rPr>
              <w:t xml:space="preserve">10</w:t>
            </w:r>
            <w:r>
              <w:rPr>
                <w:rFonts w:hint="eastAsia" w:ascii="宋体" w:hAnsi="宋体" w:eastAsia="宋体" w:cs="宋体"/>
                <w:bCs/>
                <w:color w:val="000000" w:themeColor="text1"/>
                <w14:textFill>
                  <w14:solidFill>
                    <w14:schemeClr w14:val="tx1"/>
                  </w14:solidFill>
                </w14:textFill>
              </w:rPr>
              <w:t xml:space="preserve">分）</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报价部分</w:t>
            </w:r>
            <w:r/>
          </w:p>
          <w:p>
            <w:pPr>
              <w:jc w:val="center"/>
              <w:spacing w:line="400" w:lineRule="exact"/>
              <w:rPr>
                <w:rFonts w:hint="eastAsia" w:ascii="宋体"/>
                <w:b/>
              </w:rPr>
            </w:pP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val="zh-CN" w:eastAsia="zh-CN"/>
              </w:rPr>
              <w:t xml:space="preserve">）</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资格性审查和符合性审查合格且投标价格最低为评标基准价，其价格分为1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分。其他投标人的价格分按照下列公式计算（小数点保留两位）：</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投标报价得分=（评标基准价／投标报价）×10分（保留两位小数）。</w:t>
            </w:r>
            <w:r/>
          </w:p>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说明：根据《政府采购促进中小企业发展管理办法》规定，对小型和微型生产企业生产的产品或承接的服务价格给予10%的扣除，扣除后的价格参与评审。供应商应当提供《中小企业声明函》（格式见附件）</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10</w:t>
            </w:r>
            <w:r/>
          </w:p>
        </w:tc>
      </w:tr>
      <w:tr>
        <w:trPr>
          <w:jc w:val="center"/>
          <w:trHeight w:val="274"/>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320" w:lineRule="exact"/>
              <w:rPr>
                <w:rFonts w:hint="eastAsia" w:ascii="宋体"/>
                <w:b/>
              </w:rPr>
            </w:pPr>
            <w:r>
              <w:rPr>
                <w:rFonts w:hint="eastAsia" w:ascii="宋体" w:hAnsi="宋体" w:eastAsia="宋体" w:cs="宋体"/>
                <w:lang w:val="zh-CN" w:eastAsia="zh-CN"/>
              </w:rPr>
              <w:t xml:space="preserve">技术评审（3</w:t>
            </w:r>
            <w:r>
              <w:rPr>
                <w:rFonts w:hint="eastAsia" w:ascii="宋体" w:hAnsi="宋体" w:eastAsia="宋体" w:cs="宋体"/>
                <w:lang w:val="en-US" w:eastAsia="zh-CN"/>
              </w:rPr>
              <w:t xml:space="preserve">5</w:t>
            </w:r>
            <w:r>
              <w:rPr>
                <w:rFonts w:hint="eastAsia" w:ascii="宋体" w:hAnsi="宋体" w:eastAsia="宋体" w:cs="宋体"/>
                <w:lang w:val="zh-CN" w:eastAsia="zh-CN"/>
              </w:rPr>
              <w:t xml:space="preserve">分）</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spacing w:line="320" w:lineRule="exact"/>
              <w:rPr>
                <w:rFonts w:hint="eastAsia" w:ascii="宋体"/>
                <w:b/>
              </w:rPr>
            </w:pPr>
            <w:r>
              <w:rPr>
                <w:rFonts w:hint="eastAsia" w:ascii="宋体" w:hAnsi="宋体" w:eastAsia="宋体" w:cs="宋体"/>
                <w:sz w:val="21"/>
                <w:szCs w:val="21"/>
                <w:lang w:val="zh-CN"/>
              </w:rPr>
              <w:t xml:space="preserve">技术方案(15分）</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仿宋_GB2312" w:hAnsi="仿宋" w:eastAsia="仿宋_GB2312"/>
              </w:rPr>
              <w:t xml:space="preserve">1</w:t>
            </w:r>
            <w:r>
              <w:rPr>
                <w:rFonts w:hint="eastAsia" w:ascii="宋体" w:hAnsi="宋体" w:eastAsia="宋体" w:cs="宋体"/>
                <w:sz w:val="21"/>
                <w:szCs w:val="21"/>
                <w:lang w:val="zh-CN"/>
              </w:rPr>
              <w:t xml:space="preserve">.方案的先进性（5分）：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技术路线清晰、合理，与项目既定目标关联度较强，可操作性强，评价为优，5分；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技术路线较为清晰、合理，与项目目标具备一定的关联度，具备可操作性，评价为良，3分；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技术路线不太清晰、合理，与项目目标间关联度较低，可操作性不强，评价为一般，1分；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没有内容不得分。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2.方案的逻辑性（5分）：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技术逻辑性强，与项目内容适合度较高，理论与实际联系程度较强，可行性强，评价为优，5分；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技术具备一定逻辑性，可部分满足项目内容需要，具备一定理论基础，适当调整后可应用于实践，评价为良，3分；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技术逻辑性不足，难以满足项目内容要求，缺乏系统的理论基础，可行性较差，评价为一般，1分；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没有内容不得分。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3.项目的重难点分析（5分）：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对工作的重点及难点理解深刻、分析准确、能够精准的描述出经常出现的各种问题及</w:t>
            </w:r>
            <w:r>
              <w:rPr>
                <w:rFonts w:hint="eastAsia" w:ascii="仿宋_GB2312" w:hAnsi="仿宋" w:eastAsia="仿宋_GB2312"/>
              </w:rPr>
              <w:t xml:space="preserve">处理方</w:t>
            </w:r>
            <w:r>
              <w:rPr>
                <w:rFonts w:hint="eastAsia" w:ascii="宋体" w:hAnsi="宋体" w:eastAsia="宋体" w:cs="宋体"/>
                <w:sz w:val="21"/>
                <w:szCs w:val="21"/>
                <w:lang w:val="zh-CN"/>
              </w:rPr>
              <w:t xml:space="preserve">案，评价为优，5分；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对工作的重点及难点有一定程度的理解与分析，对经常出现的各种问题及处理方案的描述较具体，评价为良，3分；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对工作的重点及难点理解不足、分析不全面、对经常出现的各种问题及处理方案的描述不具体，评价为一般，1分；</w:t>
            </w:r>
            <w:r/>
          </w:p>
          <w:p>
            <w:pPr>
              <w:jc w:val="left"/>
              <w:spacing w:line="320" w:lineRule="exact"/>
              <w:rPr>
                <w:rFonts w:hint="eastAsia" w:ascii="宋体"/>
                <w:b/>
              </w:rPr>
            </w:pPr>
            <w:r>
              <w:rPr>
                <w:rFonts w:hint="eastAsia" w:ascii="宋体" w:hAnsi="宋体" w:eastAsia="宋体" w:cs="宋体"/>
                <w:sz w:val="21"/>
                <w:szCs w:val="21"/>
                <w:lang w:val="zh-CN"/>
              </w:rPr>
              <w:t xml:space="preserve">没有内容不得分。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320" w:lineRule="exact"/>
              <w:rPr>
                <w:rFonts w:hint="default" w:ascii="宋体" w:eastAsia="宋体"/>
                <w:b/>
                <w:lang w:val="en-US" w:eastAsia="zh-CN"/>
              </w:rPr>
            </w:pPr>
            <w:r>
              <w:rPr>
                <w:rFonts w:hint="eastAsia" w:ascii="宋体"/>
                <w:b w:val="0"/>
                <w:bCs/>
                <w:lang w:val="en-US" w:eastAsia="zh-CN"/>
              </w:rPr>
              <w:t xml:space="preserve">15</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spacing w:line="400" w:lineRule="exact"/>
              <w:rPr>
                <w:rFonts w:hint="eastAsia" w:ascii="宋体"/>
                <w:b/>
              </w:rPr>
            </w:pPr>
            <w:r>
              <w:rPr>
                <w:rFonts w:hint="eastAsia" w:ascii="宋体" w:hAnsi="宋体" w:eastAsia="宋体" w:cs="宋体"/>
                <w:color w:val="auto"/>
                <w:sz w:val="21"/>
                <w:szCs w:val="21"/>
                <w:lang w:val="zh-CN"/>
              </w:rPr>
              <w:t xml:space="preserve">质量保障（5分） </w:t>
            </w:r>
            <w:r>
              <w:rPr>
                <w:rFonts w:hint="eastAsia" w:ascii="宋体" w:hAnsi="宋体" w:eastAsia="宋体" w:cs="宋体"/>
                <w:sz w:val="21"/>
                <w:szCs w:val="21"/>
              </w:rPr>
              <w:t xml:space="preserve"> </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重视项目时间、质量、项目成果及部门衔接沟通效果，建立健全项目管理及相关配套机制，质量保障体系完整、措施得力，评价为优，5分；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能够掌控项目时间、质量等要素，体系及措施较完善，评价为良，3分；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有保障措施，但缺少良好的项目管理制度，缺乏有效沟通机制，不完善、不完整、不得力，仅做出响应，评价为一般，1分；</w:t>
            </w:r>
            <w:r/>
          </w:p>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没有内容不得分。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5</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spacing w:line="320" w:lineRule="exact"/>
              <w:rPr>
                <w:rFonts w:hint="eastAsia" w:ascii="宋体"/>
                <w:b/>
              </w:rPr>
            </w:pPr>
            <w:r>
              <w:rPr>
                <w:rFonts w:hint="eastAsia" w:ascii="宋体" w:hAnsi="宋体" w:eastAsia="宋体" w:cs="宋体"/>
                <w:color w:val="auto"/>
                <w:sz w:val="21"/>
                <w:szCs w:val="21"/>
              </w:rPr>
              <w:t xml:space="preserve">进度保障（5分）</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工作进度计划控制措施得力，组织体系完备，保障措施合理、可行，时间进度安排合理，阶段目标明确，评价为优，5分；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时间进度安排较为合理，阶段目标较为明确，组织体系具备，保障措施一般，具有一定可行性，评价为良，3分；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有保障措施，但不完善、不完整，时间进度安排模糊不清，阶段目标不太明确，评价为一般，1分。</w:t>
            </w:r>
            <w:r/>
          </w:p>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没有内容不得分。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5</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服务承诺（5分）</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服务承诺针对性强、合理、可行，对本项目重点和难点问题提出创新、创优等合理化建议的，得5分；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服务承诺诺针对性、合理性、可行性较强，对本项目重点和难点问题有相关合理化建议的，得3分；</w:t>
            </w:r>
            <w:r/>
          </w:p>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服务承诺无针对性、合理性、可行性差，对本项目重点和难点问题相关建议不合理的，得1分；没有内容不得分。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5</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安全保密措施</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（5分）</w:t>
            </w:r>
            <w:r/>
          </w:p>
          <w:p>
            <w:pPr>
              <w:jc w:val="center"/>
              <w:keepLines w:val="0"/>
              <w:keepNext w:val="0"/>
              <w:pageBreakBefore w:val="0"/>
              <w:spacing w:line="240" w:lineRule="auto"/>
              <w:widowControl w:val="off"/>
              <w:rPr>
                <w:rFonts w:hint="eastAsia" w:ascii="宋体"/>
                <w:b/>
              </w:rPr>
            </w:pPr>
            <w:r>
              <w:rPr>
                <w:rFonts w:hint="eastAsia" w:ascii="宋体"/>
                <w:b/>
              </w:rPr>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根据投标人对本次服务数据提供的保密制度、措施等内容进行综合评审。</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安全责任制度、数据资料保密管理制度可靠合理，得5分； </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安全责任制度、数据资料保密管理制度有待改进完善，得 3 分， </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安全责任制度、数据资料保密管理制度不健全、措施不可靠不合理，得 1 分； </w:t>
            </w:r>
            <w:r/>
          </w:p>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没有内容不得分。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5</w:t>
            </w:r>
            <w:r/>
          </w:p>
        </w:tc>
      </w:tr>
      <w:tr>
        <w:trPr>
          <w:jc w:val="center"/>
          <w:trHeight w:val="274"/>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320" w:lineRule="exact"/>
              <w:rPr>
                <w:rFonts w:hint="eastAsia" w:ascii="宋体"/>
                <w:b/>
              </w:rPr>
            </w:pPr>
            <w:r>
              <w:rPr>
                <w:rFonts w:hint="eastAsia" w:ascii="宋体" w:hAnsi="宋体" w:cs="宋体"/>
                <w:sz w:val="21"/>
                <w:szCs w:val="21"/>
                <w:lang w:val="en-US" w:eastAsia="zh-CN"/>
              </w:rPr>
              <w:t xml:space="preserve">商务评审（55分）</w:t>
            </w:r>
            <w:r/>
          </w:p>
        </w:tc>
      </w:tr>
      <w:tr>
        <w:trPr>
          <w:jc w:val="center"/>
          <w:trHeight w:val="277"/>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spacing w:line="400" w:lineRule="exact"/>
              <w:rPr>
                <w:rFonts w:hint="eastAsia" w:ascii="宋体"/>
                <w:b/>
              </w:rPr>
            </w:pPr>
            <w:r>
              <w:rPr>
                <w:rFonts w:hint="eastAsia" w:ascii="宋体" w:hAnsi="宋体" w:eastAsia="宋体" w:cs="宋体"/>
                <w:sz w:val="21"/>
                <w:szCs w:val="21"/>
                <w:lang w:val="zh-CN"/>
              </w:rPr>
              <w:t xml:space="preserve">组织力量</w:t>
            </w:r>
            <w:r>
              <w:rPr>
                <w:rFonts w:hint="eastAsia" w:ascii="宋体" w:hAnsi="宋体" w:cs="宋体"/>
                <w:sz w:val="21"/>
                <w:szCs w:val="21"/>
                <w:lang w:val="zh-CN"/>
              </w:rPr>
              <w:t xml:space="preserve">（</w:t>
            </w:r>
            <w:r>
              <w:rPr>
                <w:rFonts w:hint="eastAsia" w:ascii="宋体" w:hAnsi="宋体" w:cs="宋体"/>
                <w:sz w:val="21"/>
                <w:szCs w:val="21"/>
                <w:lang w:val="en-US" w:eastAsia="zh-CN"/>
              </w:rPr>
              <w:t xml:space="preserve">19分</w:t>
            </w:r>
            <w:r>
              <w:rPr>
                <w:rFonts w:hint="eastAsia" w:ascii="宋体" w:hAnsi="宋体" w:cs="宋体"/>
                <w:sz w:val="21"/>
                <w:szCs w:val="21"/>
                <w:lang w:val="zh-CN"/>
              </w:rPr>
              <w:t xml:space="preserve">）</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拟派人员具有林业（园林）类专业技术职称 </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1.高级及以上职称每个得</w:t>
            </w:r>
            <w:r>
              <w:rPr>
                <w:rFonts w:hint="eastAsia" w:ascii="宋体" w:hAnsi="宋体" w:cs="宋体"/>
                <w:sz w:val="21"/>
                <w:szCs w:val="21"/>
                <w:lang w:val="en-US" w:eastAsia="zh-CN"/>
              </w:rPr>
              <w:t xml:space="preserve">6</w:t>
            </w:r>
            <w:r>
              <w:rPr>
                <w:rFonts w:hint="eastAsia" w:ascii="宋体" w:hAnsi="宋体" w:eastAsia="宋体" w:cs="宋体"/>
                <w:sz w:val="21"/>
                <w:szCs w:val="21"/>
                <w:lang w:val="zh-CN"/>
              </w:rPr>
              <w:t xml:space="preserve">分，最高</w:t>
            </w:r>
            <w:r>
              <w:rPr>
                <w:rFonts w:hint="eastAsia" w:ascii="宋体" w:hAnsi="宋体" w:cs="宋体"/>
                <w:sz w:val="21"/>
                <w:szCs w:val="21"/>
                <w:lang w:val="en-US" w:eastAsia="zh-CN"/>
              </w:rPr>
              <w:t xml:space="preserve">得6</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2.中级职称每个得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分，最高得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3.初级职称每个得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分，最高</w:t>
            </w:r>
            <w:r>
              <w:rPr>
                <w:rFonts w:hint="eastAsia" w:ascii="宋体" w:hAnsi="宋体" w:cs="宋体"/>
                <w:sz w:val="21"/>
                <w:szCs w:val="21"/>
                <w:lang w:val="en-US" w:eastAsia="zh-CN"/>
              </w:rPr>
              <w:t xml:space="preserve">得5</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备注：提供供应商为拟派人员缴纳的当月或上月的社保</w:t>
            </w:r>
            <w:r>
              <w:rPr>
                <w:rFonts w:hint="eastAsia" w:ascii="宋体" w:hAnsi="宋体" w:cs="宋体"/>
                <w:sz w:val="21"/>
                <w:szCs w:val="21"/>
                <w:lang w:val="zh-CN" w:eastAsia="zh-CN"/>
              </w:rPr>
              <w:t xml:space="preserve">证明</w:t>
            </w:r>
            <w:r>
              <w:rPr>
                <w:rFonts w:hint="eastAsia" w:ascii="宋体" w:hAnsi="宋体" w:eastAsia="宋体" w:cs="宋体"/>
                <w:sz w:val="21"/>
                <w:szCs w:val="21"/>
                <w:lang w:val="zh-CN"/>
              </w:rPr>
              <w:t xml:space="preserve">、职称证书。 </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19</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spacing w:line="400" w:lineRule="exact"/>
              <w:rPr>
                <w:rFonts w:hint="eastAsia" w:ascii="宋体"/>
                <w:b/>
              </w:rPr>
            </w:pPr>
            <w:r>
              <w:rPr>
                <w:rFonts w:hint="eastAsia" w:ascii="宋体" w:hAnsi="宋体" w:eastAsia="宋体" w:cs="宋体"/>
                <w:sz w:val="21"/>
                <w:szCs w:val="21"/>
                <w:lang w:val="en-US" w:eastAsia="zh-CN"/>
              </w:rPr>
              <w:t xml:space="preserve">业绩情况（3</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eastAsia="宋体"/>
                <w:lang w:eastAsia="zh-CN"/>
              </w:rPr>
            </w:pPr>
            <w:r>
              <w:rPr>
                <w:rFonts w:hint="eastAsia" w:ascii="宋体" w:hAnsi="宋体" w:eastAsia="宋体" w:cs="宋体"/>
                <w:sz w:val="21"/>
                <w:szCs w:val="21"/>
                <w:lang w:val="zh-CN" w:eastAsia="zh-CN"/>
              </w:rPr>
              <w:t xml:space="preserve">供应商自2022年1月1日起（以合同签订时间为准）所承接的项目业绩如下</w:t>
            </w:r>
            <w:r>
              <w:rPr>
                <w:rFonts w:hint="eastAsia" w:ascii="宋体" w:hAnsi="宋体" w:cs="宋体"/>
                <w:sz w:val="21"/>
                <w:szCs w:val="21"/>
                <w:lang w:val="zh-CN" w:eastAsia="zh-CN"/>
              </w:rPr>
              <w:t xml:space="preserve">：</w:t>
            </w:r>
            <w:r/>
          </w:p>
          <w:p>
            <w:pPr>
              <w:numPr>
                <w:ilvl w:val="0"/>
                <w:numId w:val="0"/>
              </w:numPr>
              <w:keepLines w:val="0"/>
              <w:keepNext w:val="0"/>
              <w:pageBreakBefore w:val="0"/>
              <w:spacing w:line="240" w:lineRule="auto"/>
              <w:widowControl w:val="off"/>
              <w:rPr>
                <w:rFonts w:hint="eastAsia" w:ascii="宋体" w:hAnsi="宋体" w:cs="宋体"/>
                <w:b w:val="0"/>
                <w:bCs w:val="0"/>
                <w:i w:val="0"/>
                <w:iCs w:val="0"/>
                <w:color w:val="auto"/>
                <w:sz w:val="21"/>
                <w:szCs w:val="21"/>
                <w:highlight w:val="none"/>
                <w:vertAlign w:val="baseline"/>
                <w:lang w:val="en-US" w:eastAsia="zh-CN" w:bidi="ar-SA"/>
              </w:rPr>
            </w:pPr>
            <w:r>
              <w:rPr>
                <w:rFonts w:hint="eastAsia" w:ascii="宋体" w:hAnsi="宋体" w:cs="宋体"/>
                <w:b w:val="0"/>
                <w:bCs w:val="0"/>
                <w:i w:val="0"/>
                <w:iCs w:val="0"/>
                <w:color w:val="auto"/>
                <w:sz w:val="21"/>
                <w:szCs w:val="21"/>
                <w:highlight w:val="none"/>
                <w:vertAlign w:val="baseline"/>
                <w:lang w:val="en-US" w:eastAsia="zh-CN" w:bidi="ar-SA"/>
              </w:rPr>
              <w:t xml:space="preserve">1.国家、</w:t>
            </w:r>
            <w:r>
              <w:rPr>
                <w:rFonts w:hint="eastAsia" w:ascii="宋体" w:hAnsi="宋体" w:eastAsia="宋体" w:cs="宋体"/>
                <w:b w:val="0"/>
                <w:bCs w:val="0"/>
                <w:i w:val="0"/>
                <w:iCs w:val="0"/>
                <w:color w:val="auto"/>
                <w:sz w:val="21"/>
                <w:szCs w:val="21"/>
                <w:highlight w:val="none"/>
                <w:vertAlign w:val="baseline"/>
                <w:lang w:val="en-US" w:eastAsia="zh-CN" w:bidi="ar-SA"/>
              </w:rPr>
              <w:t xml:space="preserve">省重大项目占用林地报批项目：每提供一项得</w:t>
            </w:r>
            <w:r>
              <w:rPr>
                <w:rFonts w:hint="eastAsia" w:ascii="宋体" w:hAnsi="宋体" w:cs="宋体"/>
                <w:b w:val="0"/>
                <w:bCs w:val="0"/>
                <w:i w:val="0"/>
                <w:iCs w:val="0"/>
                <w:color w:val="auto"/>
                <w:sz w:val="21"/>
                <w:szCs w:val="21"/>
                <w:highlight w:val="none"/>
                <w:vertAlign w:val="baseline"/>
                <w:lang w:val="en-US" w:eastAsia="zh-CN" w:bidi="ar-SA"/>
              </w:rPr>
              <w:t xml:space="preserve">2</w:t>
            </w:r>
            <w:r>
              <w:rPr>
                <w:rFonts w:hint="eastAsia" w:ascii="宋体" w:hAnsi="宋体" w:eastAsia="宋体" w:cs="宋体"/>
                <w:b w:val="0"/>
                <w:bCs w:val="0"/>
                <w:i w:val="0"/>
                <w:iCs w:val="0"/>
                <w:color w:val="auto"/>
                <w:sz w:val="21"/>
                <w:szCs w:val="21"/>
                <w:highlight w:val="none"/>
                <w:vertAlign w:val="baseline"/>
                <w:lang w:val="en-US" w:eastAsia="zh-CN" w:bidi="ar-SA"/>
              </w:rPr>
              <w:t xml:space="preserve">分，最高得</w:t>
            </w:r>
            <w:r>
              <w:rPr>
                <w:rFonts w:hint="eastAsia" w:ascii="宋体" w:hAnsi="宋体" w:cs="宋体"/>
                <w:b w:val="0"/>
                <w:bCs w:val="0"/>
                <w:i w:val="0"/>
                <w:iCs w:val="0"/>
                <w:color w:val="auto"/>
                <w:sz w:val="21"/>
                <w:szCs w:val="21"/>
                <w:highlight w:val="none"/>
                <w:vertAlign w:val="baseline"/>
                <w:lang w:val="en-US" w:eastAsia="zh-CN" w:bidi="ar-SA"/>
              </w:rPr>
              <w:t xml:space="preserve">4</w:t>
            </w:r>
            <w:r>
              <w:rPr>
                <w:rFonts w:hint="eastAsia" w:ascii="宋体" w:hAnsi="宋体" w:eastAsia="宋体" w:cs="宋体"/>
                <w:b w:val="0"/>
                <w:bCs w:val="0"/>
                <w:i w:val="0"/>
                <w:iCs w:val="0"/>
                <w:color w:val="auto"/>
                <w:sz w:val="21"/>
                <w:szCs w:val="21"/>
                <w:highlight w:val="none"/>
                <w:vertAlign w:val="baseline"/>
                <w:lang w:val="en-US" w:eastAsia="zh-CN" w:bidi="ar-SA"/>
              </w:rPr>
              <w:t xml:space="preserve">分</w:t>
            </w:r>
            <w:r>
              <w:rPr>
                <w:rFonts w:hint="eastAsia" w:ascii="宋体" w:hAnsi="宋体" w:cs="宋体"/>
                <w:b w:val="0"/>
                <w:bCs w:val="0"/>
                <w:i w:val="0"/>
                <w:iCs w:val="0"/>
                <w:color w:val="auto"/>
                <w:sz w:val="21"/>
                <w:szCs w:val="21"/>
                <w:highlight w:val="none"/>
                <w:vertAlign w:val="baseline"/>
                <w:lang w:val="en-US" w:eastAsia="zh-CN" w:bidi="ar-SA"/>
              </w:rPr>
              <w:t xml:space="preserve">（</w:t>
            </w:r>
            <w:r>
              <w:rPr>
                <w:rFonts w:hint="eastAsia" w:ascii="宋体" w:hAnsi="宋体" w:cs="宋体"/>
                <w:sz w:val="21"/>
                <w:szCs w:val="21"/>
                <w:lang w:val="en-US" w:eastAsia="zh-CN"/>
              </w:rPr>
              <w:t xml:space="preserve">提供重大项目清单</w:t>
            </w:r>
            <w:r>
              <w:rPr>
                <w:rFonts w:hint="eastAsia" w:ascii="宋体" w:hAnsi="宋体" w:cs="宋体"/>
                <w:b w:val="0"/>
                <w:bCs w:val="0"/>
                <w:i w:val="0"/>
                <w:iCs w:val="0"/>
                <w:color w:val="auto"/>
                <w:sz w:val="21"/>
                <w:szCs w:val="21"/>
                <w:highlight w:val="none"/>
                <w:vertAlign w:val="baseline"/>
                <w:lang w:val="en-US" w:eastAsia="zh-CN" w:bidi="ar-SA"/>
              </w:rPr>
              <w:t xml:space="preserve">）；</w:t>
            </w:r>
            <w:r/>
          </w:p>
          <w:p>
            <w:pPr>
              <w:numPr>
                <w:ilvl w:val="0"/>
                <w:numId w:val="0"/>
              </w:numP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2.涉及</w:t>
            </w:r>
            <w:r>
              <w:rPr>
                <w:rFonts w:hint="eastAsia" w:ascii="宋体" w:hAnsi="宋体" w:eastAsia="宋体" w:cs="宋体"/>
                <w:sz w:val="21"/>
                <w:szCs w:val="21"/>
                <w:lang w:val="en-US" w:eastAsia="zh-CN"/>
              </w:rPr>
              <w:t xml:space="preserve">批次</w:t>
            </w:r>
            <w:r>
              <w:rPr>
                <w:rFonts w:hint="eastAsia" w:ascii="宋体" w:hAnsi="宋体" w:cs="宋体"/>
                <w:sz w:val="21"/>
                <w:szCs w:val="21"/>
                <w:lang w:val="en-US" w:eastAsia="zh-CN"/>
              </w:rPr>
              <w:t xml:space="preserve">类用地用林合并报批</w:t>
            </w:r>
            <w:r>
              <w:rPr>
                <w:rFonts w:hint="eastAsia" w:ascii="宋体" w:hAnsi="宋体" w:eastAsia="宋体" w:cs="宋体"/>
                <w:sz w:val="21"/>
                <w:szCs w:val="21"/>
                <w:lang w:val="en-US" w:eastAsia="zh-CN"/>
              </w:rPr>
              <w:t xml:space="preserve">项目：每提供一项得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，最高得4分</w:t>
            </w:r>
            <w:r>
              <w:rPr>
                <w:rFonts w:hint="eastAsia" w:ascii="宋体" w:hAnsi="宋体" w:eastAsia="宋体" w:cs="宋体"/>
                <w:sz w:val="21"/>
                <w:szCs w:val="21"/>
                <w:lang w:val="en-US"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b w:val="0"/>
                <w:bCs w:val="0"/>
                <w:i w:val="0"/>
                <w:iCs w:val="0"/>
                <w:color w:val="auto"/>
                <w:sz w:val="21"/>
                <w:szCs w:val="21"/>
                <w:highlight w:val="none"/>
                <w:vertAlign w:val="baseline"/>
                <w:lang w:val="en-US" w:eastAsia="zh-CN" w:bidi="ar-SA"/>
              </w:rPr>
            </w:pPr>
            <w:r>
              <w:rPr>
                <w:rFonts w:hint="eastAsia" w:ascii="宋体" w:hAnsi="宋体" w:cs="宋体"/>
                <w:sz w:val="21"/>
                <w:szCs w:val="21"/>
                <w:lang w:val="en-US" w:eastAsia="zh-CN"/>
              </w:rPr>
              <w:t xml:space="preserve">3</w:t>
            </w:r>
            <w:r>
              <w:rPr>
                <w:rFonts w:hint="eastAsia" w:ascii="宋体" w:hAnsi="宋体" w:eastAsia="宋体" w:cs="宋体"/>
                <w:b w:val="0"/>
                <w:bCs w:val="0"/>
                <w:i w:val="0"/>
                <w:iCs w:val="0"/>
                <w:color w:val="auto"/>
                <w:sz w:val="21"/>
                <w:szCs w:val="21"/>
                <w:highlight w:val="none"/>
                <w:vertAlign w:val="baseline"/>
                <w:lang w:val="en-US" w:eastAsia="zh-CN" w:bidi="ar-SA"/>
              </w:rPr>
              <w:t xml:space="preserve">.道路或桥梁占用林地的项目,每提供1项得</w:t>
            </w:r>
            <w:r>
              <w:rPr>
                <w:rFonts w:hint="eastAsia" w:ascii="宋体" w:hAnsi="宋体" w:cs="宋体"/>
                <w:b w:val="0"/>
                <w:bCs w:val="0"/>
                <w:i w:val="0"/>
                <w:iCs w:val="0"/>
                <w:color w:val="auto"/>
                <w:sz w:val="21"/>
                <w:szCs w:val="21"/>
                <w:highlight w:val="none"/>
                <w:vertAlign w:val="baseline"/>
                <w:lang w:val="en-US" w:eastAsia="zh-CN" w:bidi="ar-SA"/>
              </w:rPr>
              <w:t xml:space="preserve">2</w:t>
            </w:r>
            <w:r>
              <w:rPr>
                <w:rFonts w:hint="eastAsia" w:ascii="宋体" w:hAnsi="宋体" w:eastAsia="宋体" w:cs="宋体"/>
                <w:b w:val="0"/>
                <w:bCs w:val="0"/>
                <w:i w:val="0"/>
                <w:iCs w:val="0"/>
                <w:color w:val="auto"/>
                <w:sz w:val="21"/>
                <w:szCs w:val="21"/>
                <w:highlight w:val="none"/>
                <w:vertAlign w:val="baseline"/>
                <w:lang w:val="en-US" w:eastAsia="zh-CN" w:bidi="ar-SA"/>
              </w:rPr>
              <w:t xml:space="preserve">分，最高得4分；</w:t>
            </w:r>
            <w:r/>
          </w:p>
          <w:p>
            <w:pPr>
              <w:numPr>
                <w:ilvl w:val="0"/>
                <w:numId w:val="0"/>
              </w:numP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4.管道或管线等设施占用林地的项目,每提供1项得2分，最高得4分；</w:t>
            </w:r>
            <w:r/>
          </w:p>
          <w:p>
            <w:pPr>
              <w:numPr>
                <w:ilvl w:val="0"/>
                <w:numId w:val="0"/>
              </w:numP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5.能源或电力设施占用林地的项目,每提供1项得2分，最高得4分；</w:t>
            </w:r>
            <w:r/>
          </w:p>
          <w:p>
            <w:pPr>
              <w:numPr>
                <w:ilvl w:val="0"/>
                <w:numId w:val="0"/>
              </w:numP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6.占用湿地报批项目：每提供一项得2分，最高得4分；</w:t>
            </w:r>
            <w:r/>
          </w:p>
          <w:p>
            <w:pPr>
              <w:numPr>
                <w:ilvl w:val="0"/>
                <w:numId w:val="0"/>
              </w:numP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7.林地后备资源储备库建设项目：每提供一项得2分，最高得4分。</w:t>
            </w:r>
            <w:r/>
          </w:p>
          <w:p>
            <w:pPr>
              <w:numPr>
                <w:ilvl w:val="0"/>
                <w:numId w:val="0"/>
              </w:numP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8.十五五森林采伐限额编制项目：每提供一项得2分，最高得4分；</w:t>
            </w:r>
            <w:r/>
          </w:p>
          <w:p>
            <w:pPr>
              <w:numPr>
                <w:ilvl w:val="0"/>
                <w:numId w:val="0"/>
              </w:numPr>
              <w:ind w:left="0" w:firstLine="0"/>
              <w:keepLines w:val="0"/>
              <w:keepNext w:val="0"/>
              <w:pageBreakBefore w:val="0"/>
              <w:spacing w:line="240" w:lineRule="auto"/>
              <w:widowControl w:val="off"/>
              <w:rPr>
                <w:rFonts w:hint="eastAsia" w:ascii="宋体"/>
                <w:b/>
              </w:rPr>
            </w:pPr>
            <w:r>
              <w:rPr>
                <w:rFonts w:hint="eastAsia" w:ascii="宋体" w:hAnsi="宋体" w:cs="宋体"/>
                <w:sz w:val="21"/>
                <w:szCs w:val="21"/>
                <w:lang w:val="zh-CN" w:eastAsia="zh-CN"/>
              </w:rPr>
              <w:t xml:space="preserve">备注：须提供合同复印件。所有证明材料均需加盖公章，未提供者不予计分。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32</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b/>
              </w:rPr>
            </w:pPr>
            <w:r>
              <w:rPr>
                <w:rFonts w:hint="eastAsia" w:ascii="宋体" w:hAnsi="宋体" w:eastAsia="宋体" w:cs="宋体"/>
                <w:b w:val="0"/>
                <w:bCs w:val="0"/>
                <w:i w:val="0"/>
                <w:iCs w:val="0"/>
                <w:color w:val="auto"/>
                <w:sz w:val="21"/>
                <w:szCs w:val="21"/>
                <w:highlight w:val="none"/>
                <w:vertAlign w:val="baseline"/>
                <w:lang w:val="en-US" w:eastAsia="zh-CN" w:bidi="ar-SA"/>
              </w:rPr>
              <w:t xml:space="preserve">体系认证（</w:t>
            </w:r>
            <w:r>
              <w:rPr>
                <w:rFonts w:hint="eastAsia" w:ascii="宋体" w:hAnsi="宋体" w:cs="宋体"/>
                <w:b w:val="0"/>
                <w:bCs w:val="0"/>
                <w:i w:val="0"/>
                <w:iCs w:val="0"/>
                <w:color w:val="auto"/>
                <w:sz w:val="21"/>
                <w:szCs w:val="21"/>
                <w:highlight w:val="none"/>
                <w:vertAlign w:val="baseline"/>
                <w:lang w:val="en-US" w:eastAsia="zh-CN" w:bidi="ar-SA"/>
              </w:rPr>
              <w:t xml:space="preserve">4</w:t>
            </w:r>
            <w:r>
              <w:rPr>
                <w:rFonts w:hint="eastAsia" w:ascii="宋体" w:hAnsi="宋体" w:eastAsia="宋体" w:cs="宋体"/>
                <w:b w:val="0"/>
                <w:bCs w:val="0"/>
                <w:i w:val="0"/>
                <w:iCs w:val="0"/>
                <w:color w:val="auto"/>
                <w:sz w:val="21"/>
                <w:szCs w:val="21"/>
                <w:highlight w:val="none"/>
                <w:vertAlign w:val="baseline"/>
                <w:lang w:val="en-US" w:eastAsia="zh-CN" w:bidi="ar-SA"/>
              </w:rPr>
              <w:t xml:space="preserve">分）</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供应商具备有效的体系认证：每提供1项得1分，最高得4分。供应商须附全国认证认可信息公共服务平台</w:t>
            </w:r>
            <w:r/>
          </w:p>
          <w:p>
            <w:pPr>
              <w:numPr>
                <w:ilvl w:val="0"/>
                <w:numId w:val="0"/>
              </w:numP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http://cx.cnca.cn/CertECloud/result/skipResultList）的查询截图，否则不得分。</w:t>
            </w:r>
            <w:r/>
          </w:p>
          <w:p>
            <w:pPr>
              <w:numPr>
                <w:ilvl w:val="0"/>
                <w:numId w:val="0"/>
              </w:numPr>
              <w:keepLines w:val="0"/>
              <w:keepNext w:val="0"/>
              <w:pageBreakBefore w:val="0"/>
              <w:spacing w:line="24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1.质量管理体系认证；2环境管理体系认证；</w:t>
            </w:r>
            <w:r/>
          </w:p>
          <w:p>
            <w:pPr>
              <w:numPr>
                <w:ilvl w:val="0"/>
                <w:numId w:val="0"/>
              </w:numPr>
              <w:ind w:left="0" w:firstLine="0"/>
              <w:keepLines w:val="0"/>
              <w:keepNext w:val="0"/>
              <w:pageBreakBefore w:val="0"/>
              <w:spacing w:line="240" w:lineRule="auto"/>
              <w:widowControl w:val="off"/>
              <w:rPr>
                <w:rFonts w:hint="eastAsia" w:ascii="宋体"/>
                <w:b/>
              </w:rPr>
            </w:pPr>
            <w:r>
              <w:rPr>
                <w:rFonts w:hint="eastAsia" w:ascii="宋体" w:hAnsi="宋体" w:cs="宋体"/>
                <w:sz w:val="21"/>
                <w:szCs w:val="21"/>
                <w:lang w:val="en-US" w:eastAsia="zh-CN"/>
              </w:rPr>
              <w:t xml:space="preserve">3.职业健康安全管理体系认证；4.</w:t>
            </w:r>
            <w:r>
              <w:rPr>
                <w:rFonts w:hint="eastAsia" w:ascii="宋体" w:hAnsi="宋体" w:eastAsia="宋体" w:cs="宋体"/>
                <w:sz w:val="21"/>
                <w:szCs w:val="21"/>
                <w:lang w:val="zh-CN" w:eastAsia="zh-CN"/>
              </w:rPr>
              <w:t xml:space="preserve">信息安全管理体系认证</w:t>
            </w:r>
            <w:r>
              <w:rPr>
                <w:rFonts w:hint="eastAsia" w:ascii="宋体" w:hAnsi="宋体" w:cs="宋体"/>
                <w:sz w:val="21"/>
                <w:szCs w:val="21"/>
                <w:lang w:val="zh-CN" w:eastAsia="zh-CN"/>
              </w:rPr>
              <w:t xml:space="preserve">。</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4</w:t>
            </w:r>
            <w:r/>
          </w:p>
        </w:tc>
      </w:tr>
    </w:tbl>
    <w:p>
      <w:r/>
      <w:r/>
    </w:p>
    <w:p>
      <w:pPr>
        <w:jc w:val="left"/>
        <w:spacing w:line="500" w:lineRule="exact"/>
        <w:rPr>
          <w:rFonts w:hint="eastAsia" w:ascii="黑体" w:hAnsi="黑体" w:eastAsia="黑体"/>
          <w:sz w:val="32"/>
          <w:szCs w:val="32"/>
        </w:rPr>
      </w:pPr>
      <w:r/>
      <w:bookmarkStart w:id="239" w:name="_Toc426469921"/>
      <w:r>
        <w:rPr>
          <w:rFonts w:hint="eastAsia" w:ascii="黑体" w:hAnsi="黑体" w:eastAsia="黑体"/>
          <w:sz w:val="32"/>
          <w:szCs w:val="32"/>
          <w:lang w:val="zh-CN"/>
        </w:rPr>
        <w:t xml:space="preserve">1.资格审查</w:t>
      </w:r>
      <w:r/>
    </w:p>
    <w:p>
      <w:pPr>
        <w:pStyle w:val="650"/>
        <w:spacing w:line="500" w:lineRule="exact"/>
        <w:rPr>
          <w:rFonts w:ascii="Arial" w:hAnsi="Arial" w:eastAsia="Arial"/>
          <w:sz w:val="28"/>
          <w:szCs w:val="28"/>
        </w:rPr>
      </w:pPr>
      <w:r>
        <w:rPr>
          <w:rFonts w:hint="eastAsia" w:ascii="Arial" w:hAnsi="Arial" w:eastAsia="Arial"/>
          <w:sz w:val="28"/>
          <w:szCs w:val="28"/>
        </w:rPr>
        <w:t xml:space="preserve">1.1项目开标结束后，招标人对投标人的资格进行审查。</w:t>
      </w:r>
      <w:r/>
    </w:p>
    <w:p>
      <w:pPr>
        <w:pStyle w:val="650"/>
        <w:spacing w:line="500" w:lineRule="exact"/>
        <w:rPr>
          <w:rFonts w:ascii="Arial" w:hAnsi="Arial" w:eastAsia="Arial"/>
          <w:sz w:val="28"/>
          <w:szCs w:val="28"/>
        </w:rPr>
      </w:pPr>
      <w:r>
        <w:rPr>
          <w:rFonts w:hint="eastAsia" w:ascii="Arial" w:hAnsi="Arial" w:eastAsia="Arial"/>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39"/>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50"/>
        <w:ind w:firstLine="560"/>
        <w:spacing w:line="500" w:lineRule="exact"/>
        <w:rPr>
          <w:rFonts w:ascii="宋体" w:hAnsi="宋体"/>
          <w:sz w:val="28"/>
          <w:szCs w:val="28"/>
        </w:rPr>
      </w:pPr>
      <w:r>
        <w:rPr>
          <w:rFonts w:hint="eastAsia" w:ascii="Arial" w:hAnsi="Arial" w:eastAsia="Arial"/>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Arial" w:hAnsi="Arial" w:eastAsia="Arial"/>
          <w:sz w:val="28"/>
          <w:szCs w:val="28"/>
        </w:rPr>
        <w:t xml:space="preserve">资格审查和评标办法</w:t>
      </w:r>
      <w:r>
        <w:rPr>
          <w:rFonts w:hint="eastAsia" w:ascii="宋体" w:hAnsi="宋体"/>
          <w:sz w:val="28"/>
          <w:szCs w:val="28"/>
        </w:rPr>
        <w:t xml:space="preserve">前附表。</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50"/>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50"/>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Arial" w:hAnsi="Arial" w:eastAsia="Arial"/>
          <w:sz w:val="28"/>
          <w:szCs w:val="28"/>
        </w:rPr>
        <w:t xml:space="preserve">资格审查和评标办法</w:t>
      </w:r>
      <w:r>
        <w:rPr>
          <w:rFonts w:hint="eastAsia" w:ascii="宋体" w:hAnsi="宋体"/>
          <w:sz w:val="28"/>
          <w:szCs w:val="28"/>
        </w:rPr>
        <w:t xml:space="preserve">前附表。</w:t>
      </w:r>
      <w:r/>
    </w:p>
    <w:p>
      <w:pPr>
        <w:pStyle w:val="650"/>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40"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投标文件报价出现前后不一致的，按照下列规定修正： </w:t>
      </w:r>
      <w:r/>
    </w:p>
    <w:p>
      <w:pPr>
        <w:pStyle w:val="650"/>
        <w:ind w:firstLine="280"/>
        <w:spacing w:line="440" w:lineRule="exact"/>
        <w:rPr>
          <w:rFonts w:ascii="Arial" w:hAnsi="Arial" w:eastAsia="Arial"/>
          <w:sz w:val="28"/>
          <w:szCs w:val="28"/>
        </w:rPr>
      </w:pPr>
      <w:r>
        <w:rPr>
          <w:rFonts w:hint="eastAsia" w:ascii="Arial" w:hAnsi="Arial" w:eastAsia="Arial"/>
          <w:sz w:val="28"/>
          <w:szCs w:val="28"/>
        </w:rPr>
        <w:t xml:space="preserve">（1）投标文件中开标一览表内容与投标文件中相应内容不一致的，以开标一览表为准； </w:t>
      </w:r>
      <w:r/>
    </w:p>
    <w:p>
      <w:pPr>
        <w:pStyle w:val="650"/>
        <w:ind w:firstLine="280"/>
        <w:spacing w:line="440" w:lineRule="exact"/>
        <w:rPr>
          <w:rFonts w:ascii="Arial" w:hAnsi="Arial" w:eastAsia="Arial"/>
          <w:sz w:val="28"/>
          <w:szCs w:val="28"/>
        </w:rPr>
      </w:pPr>
      <w:r>
        <w:rPr>
          <w:rFonts w:hint="eastAsia" w:ascii="Arial" w:hAnsi="Arial" w:eastAsia="Arial"/>
          <w:sz w:val="28"/>
          <w:szCs w:val="28"/>
        </w:rPr>
        <w:t xml:space="preserve">（2）大写金额和小写金额不一致的，以大写金额为准； </w:t>
      </w:r>
      <w:r/>
    </w:p>
    <w:p>
      <w:pPr>
        <w:pStyle w:val="650"/>
        <w:ind w:firstLine="280"/>
        <w:spacing w:line="440" w:lineRule="exact"/>
        <w:rPr>
          <w:rFonts w:ascii="Arial" w:hAnsi="Arial" w:eastAsia="Arial"/>
          <w:sz w:val="28"/>
          <w:szCs w:val="28"/>
        </w:rPr>
      </w:pPr>
      <w:r>
        <w:rPr>
          <w:rFonts w:hint="eastAsia" w:ascii="Arial" w:hAnsi="Arial" w:eastAsia="Arial"/>
          <w:sz w:val="28"/>
          <w:szCs w:val="28"/>
        </w:rPr>
        <w:t xml:space="preserve">（3）单价金额小数点或者百分比有明显错位的，以开标一览表的总价为准，并修改单价； </w:t>
      </w:r>
      <w:r/>
    </w:p>
    <w:p>
      <w:pPr>
        <w:pStyle w:val="650"/>
        <w:ind w:firstLine="280"/>
        <w:spacing w:line="440" w:lineRule="exact"/>
        <w:rPr>
          <w:rFonts w:ascii="Arial" w:hAnsi="Arial" w:eastAsia="Arial"/>
          <w:sz w:val="28"/>
          <w:szCs w:val="28"/>
        </w:rPr>
      </w:pPr>
      <w:r>
        <w:rPr>
          <w:rFonts w:hint="eastAsia" w:ascii="Arial" w:hAnsi="Arial" w:eastAsia="Arial"/>
          <w:sz w:val="28"/>
          <w:szCs w:val="28"/>
        </w:rPr>
        <w:t xml:space="preserve">（4）总价金额与按单价汇总金额不一致的，以单价金额计算结果为准。 </w:t>
      </w:r>
      <w:r/>
    </w:p>
    <w:p>
      <w:pPr>
        <w:pStyle w:val="650"/>
        <w:ind w:firstLine="560"/>
        <w:spacing w:line="440" w:lineRule="exact"/>
        <w:rPr>
          <w:rFonts w:ascii="Arial" w:hAnsi="Arial" w:eastAsia="Arial"/>
          <w:sz w:val="28"/>
          <w:szCs w:val="28"/>
        </w:rPr>
      </w:pPr>
      <w:r>
        <w:rPr>
          <w:rFonts w:hint="eastAsia" w:ascii="Arial" w:hAnsi="Arial" w:eastAsia="Arial"/>
          <w:sz w:val="28"/>
          <w:szCs w:val="28"/>
        </w:rPr>
        <w:t xml:space="preserve">同时出现两种以上不一致的，按照前款规定的顺序修正。修正后的报价按照本章第2.5条的规定经投标人确认后产生约束力，投标人不确认的，其投标无效。</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50"/>
        <w:spacing w:line="500" w:lineRule="exact"/>
        <w:rPr>
          <w:rFonts w:hint="eastAsia" w:ascii="楷体" w:hAnsi="楷体" w:eastAsia="楷体"/>
          <w:b/>
          <w:sz w:val="28"/>
          <w:szCs w:val="28"/>
          <w:lang w:val="en-US" w:eastAsia="zh-CN"/>
        </w:rPr>
      </w:pPr>
      <w:r>
        <w:rPr>
          <w:rFonts w:hint="eastAsia" w:ascii="楷体" w:hAnsi="楷体" w:eastAsia="楷体"/>
          <w:b/>
          <w:sz w:val="28"/>
          <w:szCs w:val="28"/>
        </w:rPr>
        <w:t xml:space="preserve">3.</w:t>
      </w:r>
      <w:r>
        <w:rPr>
          <w:rFonts w:hint="eastAsia" w:ascii="楷体" w:hAnsi="楷体" w:eastAsia="楷体"/>
          <w:b/>
          <w:sz w:val="28"/>
          <w:szCs w:val="28"/>
          <w:lang w:val="en-US" w:eastAsia="zh-CN"/>
        </w:rPr>
        <w:t xml:space="preserve">3异常低价审查</w:t>
      </w:r>
      <w:r/>
    </w:p>
    <w:p>
      <w:pPr>
        <w:ind w:firstLine="560"/>
        <w:spacing w:line="500" w:lineRule="exact"/>
        <w:rPr>
          <w:rFonts w:hint="eastAsia"/>
          <w:sz w:val="28"/>
          <w:szCs w:val="28"/>
          <w:lang w:val="en-US" w:eastAsia="zh-CN"/>
        </w:rPr>
      </w:pPr>
      <w:r>
        <w:rPr>
          <w:rFonts w:hint="eastAsia"/>
          <w:sz w:val="28"/>
          <w:szCs w:val="28"/>
          <w:lang w:val="en-US" w:eastAsia="zh-CN"/>
        </w:rPr>
        <w:t xml:space="preserve">（1）评审过程中出现下列情形之一的，评审委员会应当启动异常低价投标（响应）审查程序： </w:t>
      </w:r>
      <w:r/>
    </w:p>
    <w:p>
      <w:pPr>
        <w:ind w:firstLine="560"/>
        <w:spacing w:line="500" w:lineRule="exact"/>
        <w:rPr>
          <w:rFonts w:hint="eastAsia"/>
          <w:sz w:val="28"/>
          <w:szCs w:val="28"/>
          <w:lang w:val="en-US" w:eastAsia="zh-CN"/>
        </w:rPr>
      </w:pPr>
      <w:r>
        <w:rPr>
          <w:rFonts w:hint="eastAsia"/>
          <w:sz w:val="28"/>
          <w:szCs w:val="28"/>
          <w:lang w:val="en-US" w:eastAsia="zh-CN"/>
        </w:rPr>
        <w:t xml:space="preserve">①投标（响应）报价低于采购项目预算50%的，即投标（响应）报价&lt;采购项目预算×50% ； </w:t>
      </w:r>
      <w:r/>
    </w:p>
    <w:p>
      <w:pPr>
        <w:ind w:firstLine="560"/>
        <w:spacing w:line="500" w:lineRule="exact"/>
        <w:rPr>
          <w:sz w:val="28"/>
          <w:szCs w:val="28"/>
        </w:rPr>
      </w:pPr>
      <w:r>
        <w:rPr>
          <w:rFonts w:hint="eastAsia"/>
          <w:sz w:val="28"/>
          <w:szCs w:val="28"/>
        </w:rPr>
        <w:t xml:space="preserve">②投标（响应）报价低于采购项目最高限价45%的，即投标（响应）报价&lt;采购项目最高限价×45% ； </w:t>
      </w:r>
      <w:r/>
    </w:p>
    <w:p>
      <w:pPr>
        <w:ind w:firstLine="560"/>
        <w:spacing w:line="500" w:lineRule="exact"/>
        <w:rPr>
          <w:sz w:val="28"/>
          <w:szCs w:val="28"/>
        </w:rPr>
      </w:pPr>
      <w:r>
        <w:rPr>
          <w:rFonts w:hint="eastAsia"/>
          <w:sz w:val="28"/>
          <w:szCs w:val="28"/>
        </w:rPr>
        <w:t xml:space="preserve">③评审委员会认定的供应商报价过低、有可能影响产品质量或者不能诚信履约的其他情形。 </w:t>
      </w:r>
      <w:r/>
    </w:p>
    <w:p>
      <w:pPr>
        <w:ind w:firstLine="560"/>
        <w:spacing w:line="500" w:lineRule="exact"/>
        <w:rPr>
          <w:rFonts w:ascii="宋体" w:hAnsi="宋体" w:cs="宋体"/>
          <w:sz w:val="28"/>
          <w:szCs w:val="28"/>
        </w:rPr>
      </w:pPr>
      <w:r>
        <w:rPr>
          <w:rFonts w:hint="eastAsia" w:ascii="宋体" w:hAnsi="宋体" w:cs="宋体"/>
          <w:sz w:val="28"/>
          <w:szCs w:val="28"/>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并在评审报告中进行记录。</w:t>
      </w:r>
      <w:r/>
    </w:p>
    <w:p>
      <w:pPr>
        <w:pStyle w:val="650"/>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50"/>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Arial" w:hAnsi="Arial" w:eastAsia="Arial"/>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50"/>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50"/>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（1）投标文件无法解密；</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（2）投标文件未在规定的时间内解密成功。</w:t>
      </w:r>
      <w:r/>
    </w:p>
    <w:p>
      <w:pPr>
        <w:pStyle w:val="650"/>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50"/>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（1）符合性评审时，投标文件出现不符合</w:t>
      </w:r>
      <w:r>
        <w:rPr>
          <w:rFonts w:ascii="Arial" w:hAnsi="Arial" w:eastAsia="Arial"/>
          <w:sz w:val="28"/>
          <w:szCs w:val="28"/>
        </w:rPr>
        <w:t xml:space="preserve">2.</w:t>
      </w:r>
      <w:r>
        <w:rPr>
          <w:rFonts w:hint="eastAsia" w:ascii="Arial" w:hAnsi="Arial" w:eastAsia="Arial"/>
          <w:sz w:val="28"/>
          <w:szCs w:val="28"/>
        </w:rPr>
        <w:t xml:space="preserve">2.2项评审标准之一的；</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（2）投标人不确认评标委员会提出的投标报价修正意见的；</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（3）未按照评标委员会要求提供书面说明及相关证明材料证明其报价合理性的；</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（4）投标文件含有采购人不能接受的附加条件的。</w:t>
      </w:r>
      <w:r/>
    </w:p>
    <w:p>
      <w:pPr>
        <w:pStyle w:val="650"/>
        <w:spacing w:after="0" w:line="50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31"/>
      <w:r/>
      <w:bookmarkEnd w:id="232"/>
      <w:r/>
      <w:bookmarkEnd w:id="233"/>
      <w:r/>
      <w:bookmarkEnd w:id="234"/>
      <w:r/>
      <w:bookmarkEnd w:id="235"/>
      <w:r/>
      <w:bookmarkEnd w:id="236"/>
      <w:r/>
      <w:bookmarkEnd w:id="237"/>
      <w:r/>
      <w:bookmarkEnd w:id="238"/>
      <w:r/>
      <w:bookmarkEnd w:id="240"/>
      <w:r/>
      <w:r/>
    </w:p>
    <w:p>
      <w:pPr>
        <w:pStyle w:val="650"/>
      </w:pPr>
      <w:r/>
      <w:r/>
    </w:p>
    <w:p>
      <w:pPr>
        <w:pStyle w:val="650"/>
      </w:pPr>
      <w:r/>
      <w:r/>
    </w:p>
    <w:p>
      <w:pPr>
        <w:jc w:val="left"/>
        <w:widowControl/>
        <w:rPr>
          <w:rFonts w:ascii="黑体" w:hAnsi="宋体" w:eastAsia="黑体"/>
          <w:b/>
          <w:sz w:val="32"/>
          <w:szCs w:val="20"/>
        </w:rPr>
      </w:pPr>
      <w:r/>
      <w:bookmarkStart w:id="241" w:name="_Toc425871381"/>
      <w:r/>
      <w:bookmarkStart w:id="242" w:name="_Toc383624013"/>
      <w:r/>
      <w:bookmarkStart w:id="243" w:name="_Toc390246973"/>
      <w:r/>
      <w:bookmarkStart w:id="244" w:name="_Toc390099086"/>
      <w:r/>
      <w:bookmarkStart w:id="245" w:name="_Toc390098908"/>
      <w:r/>
      <w:bookmarkStart w:id="246" w:name="_Toc383623741"/>
      <w:r/>
      <w:bookmarkStart w:id="247" w:name="_Toc383626062"/>
      <w:r/>
      <w:bookmarkStart w:id="248" w:name="_Toc383698715"/>
      <w:r/>
      <w:bookmarkStart w:id="249" w:name="_Toc383679815"/>
      <w:r>
        <w:rPr>
          <w:rFonts w:ascii="黑体" w:hAnsi="宋体" w:eastAsia="黑体"/>
          <w:b/>
        </w:rPr>
        <w:br w:type="page" w:clear="all"/>
      </w:r>
      <w:r/>
    </w:p>
    <w:p>
      <w:pPr>
        <w:pStyle w:val="665"/>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第四章</w:t>
      </w:r>
      <w:r>
        <w:rPr>
          <w:rFonts w:ascii="黑体" w:hAnsi="宋体" w:eastAsia="黑体"/>
          <w:b/>
          <w:color w:val="auto"/>
        </w:rPr>
        <w:t xml:space="preserve"> </w:t>
      </w:r>
      <w:r>
        <w:rPr>
          <w:rFonts w:hint="eastAsia" w:ascii="黑体" w:hAnsi="宋体" w:eastAsia="黑体"/>
          <w:b/>
          <w:color w:val="auto"/>
        </w:rPr>
        <w:t xml:space="preserve">合同条款</w:t>
      </w:r>
      <w:bookmarkStart w:id="250" w:name="_Toc382813933"/>
      <w:r/>
      <w:bookmarkStart w:id="251" w:name="_Toc383587505"/>
      <w:r/>
      <w:bookmarkStart w:id="252" w:name="_Toc513029243"/>
      <w:r/>
      <w:bookmarkStart w:id="253" w:name="_Toc382811586"/>
      <w:r/>
      <w:bookmarkStart w:id="254" w:name="_Toc20823315"/>
      <w:r/>
      <w:bookmarkStart w:id="255" w:name="_Toc382812484"/>
      <w:r/>
      <w:bookmarkStart w:id="256" w:name="_Toc16938559"/>
      <w:r/>
      <w:bookmarkStart w:id="257" w:name="_Toc120614222"/>
      <w:r/>
      <w:bookmarkStart w:id="258" w:name="_Toc382814014"/>
      <w:r/>
      <w:bookmarkStart w:id="259" w:name="_Toc288030332"/>
      <w:r/>
      <w:bookmarkStart w:id="260" w:name="_Toc382811181"/>
      <w:r/>
      <w:bookmarkStart w:id="261" w:name="_Toc382812295"/>
      <w:r/>
      <w:bookmarkStart w:id="262" w:name="_Toc282446296"/>
      <w:r/>
      <w:bookmarkStart w:id="263" w:name="_Toc383698694"/>
      <w:r/>
      <w:bookmarkStart w:id="264" w:name="_Toc390246952"/>
      <w:r/>
      <w:bookmarkStart w:id="265" w:name="_Toc383623992"/>
      <w:r/>
      <w:bookmarkStart w:id="266" w:name="_Toc383679794"/>
      <w:r/>
      <w:bookmarkStart w:id="267" w:name="_Toc383623720"/>
      <w:r/>
      <w:bookmarkStart w:id="268" w:name="_Toc425871366"/>
      <w:r/>
      <w:bookmarkStart w:id="269" w:name="_Toc390099065"/>
      <w:r/>
      <w:bookmarkStart w:id="270" w:name="_Toc390098887"/>
      <w:r/>
      <w:bookmarkStart w:id="271" w:name="_Toc383626041"/>
      <w:r/>
      <w:r/>
    </w:p>
    <w:p>
      <w:pPr>
        <w:pStyle w:val="665"/>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r/>
    </w:p>
    <w:p>
      <w:pPr>
        <w:pStyle w:val="665"/>
        <w:ind w:left="0" w:firstLine="0"/>
        <w:spacing w:line="500" w:lineRule="exact"/>
        <w:rPr>
          <w:rFonts w:ascii="宋体" w:hAnsi="宋体" w:eastAsia="宋体"/>
          <w:b/>
          <w:bCs/>
          <w:color w:val="000000"/>
          <w:szCs w:val="28"/>
        </w:rPr>
        <w:outlineLvl w:val="0"/>
      </w:pPr>
      <w:r>
        <w:rPr>
          <w:rFonts w:hint="eastAsia" w:ascii="宋体" w:hAnsi="宋体" w:eastAsia="宋体"/>
          <w:b/>
          <w:bCs/>
          <w:color w:val="000000"/>
          <w:szCs w:val="28"/>
        </w:rPr>
        <w:t xml:space="preserve">一、通用合同条款</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b/>
          <w:bCs/>
          <w:color w:val="000000"/>
          <w:szCs w:val="28"/>
        </w:rPr>
        <w:t xml:space="preserve">部分</w:t>
      </w:r>
      <w:bookmarkEnd w:id="263"/>
      <w:r/>
      <w:bookmarkEnd w:id="264"/>
      <w:r/>
      <w:bookmarkEnd w:id="265"/>
      <w:r/>
      <w:bookmarkEnd w:id="266"/>
      <w:r/>
      <w:bookmarkEnd w:id="267"/>
      <w:r/>
      <w:bookmarkEnd w:id="268"/>
      <w:r/>
      <w:bookmarkEnd w:id="269"/>
      <w:r/>
      <w:bookmarkEnd w:id="270"/>
      <w:r/>
      <w:bookmarkEnd w:id="271"/>
      <w:r/>
      <w:r/>
    </w:p>
    <w:p>
      <w:pPr>
        <w:ind w:firstLine="560"/>
        <w:jc w:val="left"/>
        <w:spacing w:line="500" w:lineRule="exact"/>
        <w:rPr>
          <w:rFonts w:ascii="宋体" w:hAnsi="宋体" w:cs="宋体"/>
          <w:sz w:val="28"/>
          <w:szCs w:val="21"/>
        </w:rPr>
      </w:pPr>
      <w:r/>
      <w:bookmarkStart w:id="272" w:name="_Toc383698695"/>
      <w:r/>
      <w:bookmarkStart w:id="273" w:name="_Toc383623993"/>
      <w:r/>
      <w:bookmarkStart w:id="274" w:name="_Toc382811588"/>
      <w:r/>
      <w:bookmarkStart w:id="275" w:name="_Toc383623721"/>
      <w:r/>
      <w:bookmarkStart w:id="276" w:name="_Toc382812297"/>
      <w:r/>
      <w:bookmarkStart w:id="277" w:name="_Toc513029245"/>
      <w:r/>
      <w:bookmarkStart w:id="278" w:name="_Toc382814016"/>
      <w:r/>
      <w:bookmarkStart w:id="279" w:name="_Toc288030334"/>
      <w:r/>
      <w:bookmarkStart w:id="280" w:name="_Toc390098888"/>
      <w:r/>
      <w:bookmarkStart w:id="281" w:name="_Toc390246953"/>
      <w:r/>
      <w:bookmarkStart w:id="282" w:name="_Toc282446298"/>
      <w:r/>
      <w:bookmarkStart w:id="283" w:name="_Toc382811183"/>
      <w:r/>
      <w:bookmarkStart w:id="284" w:name="_Toc16938561"/>
      <w:r/>
      <w:bookmarkStart w:id="285" w:name="_Toc383587507"/>
      <w:r/>
      <w:bookmarkStart w:id="286" w:name="_Toc383626042"/>
      <w:r/>
      <w:bookmarkStart w:id="287" w:name="_Toc120614224"/>
      <w:r/>
      <w:bookmarkStart w:id="288" w:name="_Toc382812486"/>
      <w:r/>
      <w:bookmarkStart w:id="289" w:name="_Toc383679795"/>
      <w:r/>
      <w:bookmarkStart w:id="290" w:name="_Toc20823317"/>
      <w:r/>
      <w:bookmarkStart w:id="291" w:name="_Toc390099066"/>
      <w:r/>
      <w:bookmarkStart w:id="292" w:name="_Toc425871367"/>
      <w:r/>
      <w:bookmarkStart w:id="293" w:name="_Toc382813935"/>
      <w:r>
        <w:rPr>
          <w:rFonts w:hint="eastAsia" w:ascii="宋体" w:hAnsi="宋体" w:cs="宋体"/>
          <w:sz w:val="28"/>
          <w:szCs w:val="21"/>
        </w:rPr>
        <w:t xml:space="preserve">1、定义</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294" w:name="_Toc120614225"/>
      <w:r/>
      <w:bookmarkStart w:id="295" w:name="_Toc288030335"/>
      <w:r/>
      <w:bookmarkStart w:id="296" w:name="_Toc513029246"/>
      <w:r/>
      <w:bookmarkStart w:id="297" w:name="_Toc16938562"/>
      <w:r/>
      <w:bookmarkStart w:id="298" w:name="_Toc282446299"/>
      <w:r/>
      <w:bookmarkStart w:id="299" w:name="_Toc20823318"/>
      <w:r/>
      <w:bookmarkStart w:id="300" w:name="_Toc390246954"/>
      <w:r/>
      <w:bookmarkStart w:id="301" w:name="_Toc383698696"/>
      <w:r/>
      <w:bookmarkStart w:id="302" w:name="_Toc383626043"/>
      <w:r/>
      <w:bookmarkStart w:id="303" w:name="_Toc383623722"/>
      <w:r/>
      <w:bookmarkStart w:id="304" w:name="_Toc383679796"/>
      <w:r/>
      <w:bookmarkStart w:id="305" w:name="_Toc425871368"/>
      <w:r/>
      <w:bookmarkStart w:id="306" w:name="_Toc383587508"/>
      <w:r/>
      <w:bookmarkStart w:id="307" w:name="_Toc382814017"/>
      <w:r/>
      <w:bookmarkStart w:id="308" w:name="_Toc382812487"/>
      <w:r/>
      <w:bookmarkStart w:id="309" w:name="_Toc382811589"/>
      <w:r/>
      <w:bookmarkStart w:id="310" w:name="_Toc382811184"/>
      <w:r/>
      <w:bookmarkStart w:id="311" w:name="_Toc390098889"/>
      <w:r/>
      <w:bookmarkStart w:id="312" w:name="_Toc390099067"/>
      <w:r/>
      <w:bookmarkStart w:id="313" w:name="_Toc383623994"/>
      <w:r/>
      <w:bookmarkStart w:id="314" w:name="_Toc382813936"/>
      <w:r/>
      <w:bookmarkStart w:id="315" w:name="_Toc382812298"/>
      <w:r>
        <w:rPr>
          <w:rFonts w:hint="eastAsia" w:ascii="宋体" w:hAnsi="宋体" w:cs="宋体"/>
          <w:sz w:val="28"/>
          <w:szCs w:val="21"/>
        </w:rPr>
        <w:t xml:space="preserve">2、技术</w:t>
      </w:r>
      <w:bookmarkEnd w:id="294"/>
      <w:r/>
      <w:bookmarkEnd w:id="295"/>
      <w:r/>
      <w:bookmarkEnd w:id="296"/>
      <w:r/>
      <w:bookmarkEnd w:id="297"/>
      <w:r/>
      <w:bookmarkEnd w:id="298"/>
      <w:r/>
      <w:bookmarkEnd w:id="299"/>
      <w:r>
        <w:rPr>
          <w:rFonts w:hint="eastAsia" w:ascii="宋体" w:hAnsi="宋体" w:cs="宋体"/>
          <w:sz w:val="28"/>
          <w:szCs w:val="21"/>
        </w:rPr>
        <w:t xml:space="preserve">规范</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316" w:name="_Toc382811185"/>
      <w:r/>
      <w:bookmarkStart w:id="317" w:name="_Toc383587509"/>
      <w:r/>
      <w:bookmarkStart w:id="318" w:name="_Toc16938563"/>
      <w:r/>
      <w:bookmarkStart w:id="319" w:name="_Toc120614226"/>
      <w:r/>
      <w:bookmarkStart w:id="320" w:name="_Toc383698697"/>
      <w:r/>
      <w:bookmarkStart w:id="321" w:name="_Toc390099068"/>
      <w:r/>
      <w:bookmarkStart w:id="322" w:name="_Toc20823319"/>
      <w:r/>
      <w:bookmarkStart w:id="323" w:name="_Toc383623723"/>
      <w:r/>
      <w:bookmarkStart w:id="324" w:name="_Toc513029247"/>
      <w:r/>
      <w:bookmarkStart w:id="325" w:name="_Toc390246955"/>
      <w:r/>
      <w:bookmarkStart w:id="326" w:name="_Toc425871369"/>
      <w:r/>
      <w:bookmarkStart w:id="327" w:name="_Toc383679797"/>
      <w:r/>
      <w:bookmarkStart w:id="328" w:name="_Toc390098890"/>
      <w:r/>
      <w:bookmarkStart w:id="329" w:name="_Toc382812488"/>
      <w:r/>
      <w:bookmarkStart w:id="330" w:name="_Toc282446300"/>
      <w:r/>
      <w:bookmarkStart w:id="331" w:name="_Toc382813937"/>
      <w:r/>
      <w:bookmarkStart w:id="332" w:name="_Toc382811590"/>
      <w:r/>
      <w:bookmarkStart w:id="333" w:name="_Toc382812299"/>
      <w:r/>
      <w:bookmarkStart w:id="334" w:name="_Toc382814018"/>
      <w:r/>
      <w:bookmarkStart w:id="335" w:name="_Toc383623995"/>
      <w:r/>
      <w:bookmarkStart w:id="336" w:name="_Toc288030336"/>
      <w:r/>
      <w:bookmarkStart w:id="337" w:name="_Toc383626044"/>
      <w:r>
        <w:rPr>
          <w:rFonts w:hint="eastAsia" w:ascii="宋体" w:hAnsi="宋体" w:cs="宋体"/>
          <w:sz w:val="28"/>
          <w:szCs w:val="21"/>
        </w:rPr>
        <w:t xml:space="preserve">3、专利权及版权</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338" w:name="_Toc513029248"/>
      <w:r/>
      <w:bookmarkStart w:id="339" w:name="_Toc16938564"/>
      <w:r/>
      <w:bookmarkStart w:id="340" w:name="_Toc288030337"/>
      <w:r/>
      <w:bookmarkStart w:id="341" w:name="_Toc282446301"/>
      <w:r/>
      <w:bookmarkStart w:id="342" w:name="_Toc120614227"/>
      <w:r/>
      <w:bookmarkStart w:id="343" w:name="_Toc20823320"/>
      <w:r/>
      <w:bookmarkStart w:id="344" w:name="_Toc382814019"/>
      <w:r/>
      <w:bookmarkStart w:id="345" w:name="_Toc390246956"/>
      <w:r/>
      <w:bookmarkStart w:id="346" w:name="_Toc383698698"/>
      <w:r/>
      <w:bookmarkStart w:id="347" w:name="_Toc390098891"/>
      <w:r/>
      <w:bookmarkStart w:id="348" w:name="_Toc383626045"/>
      <w:r/>
      <w:bookmarkStart w:id="349" w:name="_Toc390099069"/>
      <w:r/>
      <w:bookmarkStart w:id="350" w:name="_Toc383679798"/>
      <w:r/>
      <w:bookmarkStart w:id="351" w:name="_Toc383587510"/>
      <w:r/>
      <w:bookmarkStart w:id="352" w:name="_Toc382813938"/>
      <w:r/>
      <w:bookmarkStart w:id="353" w:name="_Toc425871370"/>
      <w:r/>
      <w:bookmarkStart w:id="354" w:name="_Toc383623996"/>
      <w:r/>
      <w:bookmarkStart w:id="355" w:name="_Toc383623724"/>
      <w:r>
        <w:rPr>
          <w:rFonts w:hint="eastAsia" w:ascii="宋体" w:hAnsi="宋体" w:cs="宋体"/>
          <w:sz w:val="28"/>
          <w:szCs w:val="21"/>
        </w:rPr>
        <w:t xml:space="preserve">4、</w:t>
      </w:r>
      <w:bookmarkEnd w:id="338"/>
      <w:r/>
      <w:bookmarkEnd w:id="339"/>
      <w:r/>
      <w:bookmarkEnd w:id="340"/>
      <w:r/>
      <w:bookmarkEnd w:id="341"/>
      <w:r/>
      <w:bookmarkEnd w:id="342"/>
      <w:r/>
      <w:bookmarkEnd w:id="343"/>
      <w:r/>
      <w:bookmarkStart w:id="356" w:name="_Toc20823322"/>
      <w:r/>
      <w:bookmarkStart w:id="357" w:name="_Toc288030339"/>
      <w:r/>
      <w:bookmarkStart w:id="358" w:name="_Toc120614229"/>
      <w:r/>
      <w:bookmarkStart w:id="359" w:name="_Toc513029250"/>
      <w:r/>
      <w:bookmarkStart w:id="360" w:name="_Toc282446303"/>
      <w:r/>
      <w:bookmarkStart w:id="361" w:name="_Toc16938566"/>
      <w:r>
        <w:rPr>
          <w:rFonts w:hint="eastAsia" w:ascii="宋体" w:hAnsi="宋体" w:cs="宋体"/>
          <w:sz w:val="28"/>
          <w:szCs w:val="21"/>
        </w:rPr>
        <w:t xml:space="preserve">付款</w:t>
      </w:r>
      <w:bookmarkEnd w:id="356"/>
      <w:r/>
      <w:bookmarkEnd w:id="357"/>
      <w:r/>
      <w:bookmarkEnd w:id="358"/>
      <w:r/>
      <w:bookmarkEnd w:id="359"/>
      <w:r/>
      <w:bookmarkEnd w:id="360"/>
      <w:r/>
      <w:bookmarkEnd w:id="361"/>
      <w:r>
        <w:rPr>
          <w:rFonts w:hint="eastAsia" w:ascii="宋体" w:hAnsi="宋体" w:cs="宋体"/>
          <w:sz w:val="28"/>
          <w:szCs w:val="21"/>
        </w:rPr>
        <w:t xml:space="preserve">方式</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362" w:name="_Toc20823323"/>
      <w:r/>
      <w:bookmarkStart w:id="363" w:name="_Toc383623997"/>
      <w:r/>
      <w:bookmarkStart w:id="364" w:name="_Toc288030340"/>
      <w:r/>
      <w:bookmarkStart w:id="365" w:name="_Toc383626046"/>
      <w:r/>
      <w:bookmarkStart w:id="366" w:name="_Toc382813939"/>
      <w:r/>
      <w:bookmarkStart w:id="367" w:name="_Toc382811591"/>
      <w:r/>
      <w:bookmarkStart w:id="368" w:name="_Toc382812489"/>
      <w:r/>
      <w:bookmarkStart w:id="369" w:name="_Toc282446304"/>
      <w:r/>
      <w:bookmarkStart w:id="370" w:name="_Toc16938567"/>
      <w:r/>
      <w:bookmarkStart w:id="371" w:name="_Toc390246957"/>
      <w:r/>
      <w:bookmarkStart w:id="372" w:name="_Toc120614230"/>
      <w:r/>
      <w:bookmarkStart w:id="373" w:name="_Toc382814020"/>
      <w:r/>
      <w:bookmarkStart w:id="374" w:name="_Toc382812300"/>
      <w:r/>
      <w:bookmarkStart w:id="375" w:name="_Toc383623725"/>
      <w:r/>
      <w:bookmarkStart w:id="376" w:name="_Toc513029251"/>
      <w:r/>
      <w:bookmarkStart w:id="377" w:name="_Toc383698699"/>
      <w:r/>
      <w:bookmarkStart w:id="378" w:name="_Toc390099070"/>
      <w:r/>
      <w:bookmarkStart w:id="379" w:name="_Toc383587511"/>
      <w:r/>
      <w:bookmarkStart w:id="380" w:name="_Toc425871371"/>
      <w:r/>
      <w:bookmarkStart w:id="381" w:name="_Toc390098892"/>
      <w:r/>
      <w:bookmarkStart w:id="382" w:name="_Toc383679799"/>
      <w:r/>
      <w:bookmarkStart w:id="383" w:name="_Toc382811186"/>
      <w:r>
        <w:rPr>
          <w:rFonts w:hint="eastAsia" w:ascii="宋体" w:hAnsi="宋体" w:cs="宋体"/>
          <w:sz w:val="28"/>
          <w:szCs w:val="21"/>
        </w:rPr>
        <w:t xml:space="preserve">5、伴随服务</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384" w:name="_Toc390098893"/>
      <w:r/>
      <w:bookmarkStart w:id="385" w:name="_Toc382814021"/>
      <w:r/>
      <w:bookmarkStart w:id="386" w:name="_Toc120614231"/>
      <w:r/>
      <w:bookmarkStart w:id="387" w:name="_Toc425871372"/>
      <w:r/>
      <w:bookmarkStart w:id="388" w:name="_Toc513029252"/>
      <w:r/>
      <w:bookmarkStart w:id="389" w:name="_Toc288030341"/>
      <w:r/>
      <w:bookmarkStart w:id="390" w:name="_Toc383679800"/>
      <w:r/>
      <w:bookmarkStart w:id="391" w:name="_Toc390246958"/>
      <w:r/>
      <w:bookmarkStart w:id="392" w:name="_Toc382811592"/>
      <w:r/>
      <w:bookmarkStart w:id="393" w:name="_Toc20823324"/>
      <w:r/>
      <w:bookmarkStart w:id="394" w:name="_Toc16938568"/>
      <w:r/>
      <w:bookmarkStart w:id="395" w:name="_Toc383698700"/>
      <w:r/>
      <w:bookmarkStart w:id="396" w:name="_Toc382812301"/>
      <w:r/>
      <w:bookmarkStart w:id="397" w:name="_Toc383626047"/>
      <w:r/>
      <w:bookmarkStart w:id="398" w:name="_Toc383623726"/>
      <w:r/>
      <w:bookmarkStart w:id="399" w:name="_Toc383623998"/>
      <w:r/>
      <w:bookmarkStart w:id="400" w:name="_Toc382812490"/>
      <w:r/>
      <w:bookmarkStart w:id="401" w:name="_Toc282446305"/>
      <w:r/>
      <w:bookmarkStart w:id="402" w:name="_Toc382811187"/>
      <w:r/>
      <w:bookmarkStart w:id="403" w:name="_Toc383587512"/>
      <w:r/>
      <w:bookmarkStart w:id="404" w:name="_Toc382813940"/>
      <w:r/>
      <w:bookmarkStart w:id="405" w:name="_Toc390099071"/>
      <w:r>
        <w:rPr>
          <w:rFonts w:hint="eastAsia" w:ascii="宋体" w:hAnsi="宋体" w:cs="宋体"/>
          <w:sz w:val="28"/>
          <w:szCs w:val="21"/>
        </w:rPr>
        <w:t xml:space="preserve">6、质量保证</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406" w:name="_Toc282446307"/>
      <w:r/>
      <w:bookmarkStart w:id="407" w:name="_Toc16938570"/>
      <w:r/>
      <w:bookmarkStart w:id="408" w:name="_Toc288030343"/>
      <w:r/>
      <w:bookmarkStart w:id="409" w:name="_Toc513029254"/>
      <w:r/>
      <w:bookmarkStart w:id="410" w:name="_Toc20823326"/>
      <w:r/>
      <w:bookmarkStart w:id="411" w:name="_Toc120614233"/>
      <w:r/>
      <w:bookmarkStart w:id="412" w:name="_Toc399228176"/>
      <w:r/>
      <w:bookmarkStart w:id="413" w:name="_Toc399658018"/>
      <w:r/>
      <w:bookmarkStart w:id="414" w:name="_Toc425871373"/>
      <w:r/>
      <w:bookmarkStart w:id="415" w:name="_Toc399227843"/>
      <w:r/>
      <w:bookmarkStart w:id="416" w:name="_Toc399853485"/>
      <w:r>
        <w:rPr>
          <w:rFonts w:hint="eastAsia" w:ascii="宋体" w:hAnsi="宋体" w:cs="宋体"/>
          <w:sz w:val="28"/>
          <w:szCs w:val="21"/>
        </w:rPr>
        <w:t xml:space="preserve">7、</w:t>
      </w:r>
      <w:bookmarkEnd w:id="406"/>
      <w:r/>
      <w:bookmarkEnd w:id="407"/>
      <w:r/>
      <w:bookmarkEnd w:id="408"/>
      <w:r/>
      <w:bookmarkEnd w:id="409"/>
      <w:r/>
      <w:bookmarkEnd w:id="410"/>
      <w:r/>
      <w:bookmarkEnd w:id="411"/>
      <w:r/>
      <w:bookmarkStart w:id="417" w:name="_Toc282446310"/>
      <w:r/>
      <w:bookmarkStart w:id="418" w:name="_Toc20823329"/>
      <w:r/>
      <w:bookmarkStart w:id="419" w:name="_Toc120614236"/>
      <w:r/>
      <w:bookmarkStart w:id="420" w:name="_Toc513029257"/>
      <w:r/>
      <w:bookmarkStart w:id="421" w:name="_Toc16938573"/>
      <w:r/>
      <w:bookmarkStart w:id="422" w:name="_Toc288030346"/>
      <w:r>
        <w:rPr>
          <w:rFonts w:hint="eastAsia" w:ascii="宋体" w:hAnsi="宋体" w:cs="宋体"/>
          <w:sz w:val="28"/>
          <w:szCs w:val="21"/>
        </w:rPr>
        <w:t xml:space="preserve">不可抗力</w:t>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423" w:name="_Toc425871374"/>
      <w:r/>
      <w:bookmarkStart w:id="424" w:name="_Toc513029258"/>
      <w:r/>
      <w:bookmarkStart w:id="425" w:name="_Toc120614237"/>
      <w:r/>
      <w:bookmarkStart w:id="426" w:name="_Toc399227844"/>
      <w:r/>
      <w:bookmarkStart w:id="427" w:name="_Toc399228177"/>
      <w:r/>
      <w:bookmarkStart w:id="428" w:name="_Toc20823330"/>
      <w:r/>
      <w:bookmarkStart w:id="429" w:name="_Toc16938574"/>
      <w:r/>
      <w:bookmarkStart w:id="430" w:name="_Toc288030347"/>
      <w:r/>
      <w:bookmarkStart w:id="431" w:name="_Toc399658019"/>
      <w:r/>
      <w:bookmarkStart w:id="432" w:name="_Toc399853486"/>
      <w:r/>
      <w:bookmarkStart w:id="433" w:name="_Toc282446311"/>
      <w:r>
        <w:rPr>
          <w:rFonts w:hint="eastAsia" w:ascii="宋体" w:hAnsi="宋体" w:cs="宋体"/>
          <w:sz w:val="28"/>
          <w:szCs w:val="21"/>
        </w:rPr>
        <w:t xml:space="preserve">8、税费</w:t>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434" w:name="_Toc399227845"/>
      <w:r/>
      <w:bookmarkStart w:id="435" w:name="_Toc399658020"/>
      <w:r/>
      <w:bookmarkStart w:id="436" w:name="_Toc282446312"/>
      <w:r/>
      <w:bookmarkStart w:id="437" w:name="_Toc399853487"/>
      <w:r/>
      <w:bookmarkStart w:id="438" w:name="_Toc425871375"/>
      <w:r/>
      <w:bookmarkStart w:id="439" w:name="_Toc20823331"/>
      <w:r/>
      <w:bookmarkStart w:id="440" w:name="_Toc120614238"/>
      <w:r/>
      <w:bookmarkStart w:id="441" w:name="_Toc288030348"/>
      <w:r/>
      <w:bookmarkStart w:id="442" w:name="_Toc399228178"/>
      <w:r/>
      <w:bookmarkStart w:id="443" w:name="_Toc513029259"/>
      <w:r/>
      <w:bookmarkStart w:id="444" w:name="_Toc16938575"/>
      <w:r>
        <w:rPr>
          <w:rFonts w:hint="eastAsia" w:ascii="宋体" w:hAnsi="宋体" w:cs="宋体"/>
          <w:sz w:val="28"/>
          <w:szCs w:val="21"/>
        </w:rPr>
        <w:t xml:space="preserve">9、履约保证金</w:t>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的形式：支票、汇票、本票或者金融机构、担保机构出具的保函等非现金形式</w:t>
      </w:r>
      <w:r/>
    </w:p>
    <w:p>
      <w:pPr>
        <w:ind w:firstLine="560"/>
        <w:jc w:val="left"/>
        <w:spacing w:line="50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的金额：</w:t>
      </w:r>
      <w:r>
        <w:rPr>
          <w:rFonts w:hint="eastAsia" w:ascii="宋体" w:hAnsi="宋体" w:cs="宋体"/>
          <w:sz w:val="28"/>
          <w:szCs w:val="21"/>
        </w:rPr>
        <w:t xml:space="preserve">无需缴纳履约保证金。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ascii="宋体" w:hAnsi="宋体" w:cs="宋体"/>
          <w:sz w:val="28"/>
          <w:szCs w:val="21"/>
        </w:rPr>
      </w:pPr>
      <w:r/>
      <w:bookmarkStart w:id="445" w:name="_Toc513029260"/>
      <w:r/>
      <w:bookmarkStart w:id="446" w:name="_Toc20823332"/>
      <w:r/>
      <w:bookmarkStart w:id="447" w:name="_Toc399227846"/>
      <w:r/>
      <w:bookmarkStart w:id="448" w:name="_Toc425871376"/>
      <w:r/>
      <w:bookmarkStart w:id="449" w:name="_Toc282446313"/>
      <w:r/>
      <w:bookmarkStart w:id="450" w:name="_Toc16938576"/>
      <w:r/>
      <w:bookmarkStart w:id="451" w:name="_Toc120614239"/>
      <w:r/>
      <w:bookmarkStart w:id="452" w:name="_Toc462564119"/>
      <w:r/>
      <w:bookmarkStart w:id="453" w:name="_Toc399228179"/>
      <w:r/>
      <w:bookmarkStart w:id="454" w:name="_Toc288030349"/>
      <w:r/>
      <w:bookmarkStart w:id="455" w:name="_Toc399658021"/>
      <w:r/>
      <w:bookmarkStart w:id="456" w:name="_Toc399853488"/>
      <w:r>
        <w:rPr>
          <w:rFonts w:hint="eastAsia" w:ascii="宋体" w:hAnsi="宋体" w:cs="宋体"/>
          <w:sz w:val="28"/>
          <w:szCs w:val="21"/>
        </w:rPr>
        <w:t xml:space="preserve">10、仲裁</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457" w:name="_Toc20823333"/>
      <w:r/>
      <w:bookmarkStart w:id="458" w:name="_Toc399658022"/>
      <w:r/>
      <w:bookmarkStart w:id="459" w:name="_Toc462564120"/>
      <w:r/>
      <w:bookmarkStart w:id="460" w:name="_Toc288030350"/>
      <w:r/>
      <w:bookmarkStart w:id="461" w:name="_Toc282446314"/>
      <w:r/>
      <w:bookmarkStart w:id="462" w:name="_Toc399853489"/>
      <w:r/>
      <w:bookmarkStart w:id="463" w:name="_Toc120614240"/>
      <w:r/>
      <w:bookmarkStart w:id="464" w:name="_Toc399228180"/>
      <w:r/>
      <w:bookmarkStart w:id="465" w:name="_Toc513029261"/>
      <w:r/>
      <w:bookmarkStart w:id="466" w:name="_Toc399227847"/>
      <w:r/>
      <w:bookmarkStart w:id="467" w:name="_Toc425871377"/>
      <w:r/>
      <w:bookmarkStart w:id="468" w:name="_Toc16938577"/>
      <w:r>
        <w:rPr>
          <w:rFonts w:hint="eastAsia" w:ascii="宋体" w:hAnsi="宋体" w:cs="宋体"/>
          <w:sz w:val="28"/>
          <w:szCs w:val="21"/>
        </w:rPr>
        <w:t xml:space="preserve">11、违约终止合同</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469" w:name="_Toc288030351"/>
      <w:r/>
      <w:bookmarkStart w:id="470" w:name="_Toc16938578"/>
      <w:r/>
      <w:bookmarkStart w:id="471" w:name="_Toc462564121"/>
      <w:r/>
      <w:bookmarkStart w:id="472" w:name="_Toc513029262"/>
      <w:r/>
      <w:bookmarkStart w:id="473" w:name="_Toc399853490"/>
      <w:r/>
      <w:bookmarkStart w:id="474" w:name="_Toc399658023"/>
      <w:r/>
      <w:bookmarkStart w:id="475" w:name="_Toc120614241"/>
      <w:r/>
      <w:bookmarkStart w:id="476" w:name="_Toc425871378"/>
      <w:r/>
      <w:bookmarkStart w:id="477" w:name="_Toc399227848"/>
      <w:r/>
      <w:bookmarkStart w:id="478" w:name="_Toc399228181"/>
      <w:r/>
      <w:bookmarkStart w:id="479" w:name="_Toc20823334"/>
      <w:r/>
      <w:bookmarkStart w:id="480" w:name="_Toc282446315"/>
      <w:r>
        <w:rPr>
          <w:rFonts w:hint="eastAsia" w:ascii="宋体" w:hAnsi="宋体" w:cs="宋体"/>
          <w:sz w:val="28"/>
          <w:szCs w:val="21"/>
        </w:rPr>
        <w:t xml:space="preserve">12、破产中止合同</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481" w:name="_Toc20823335"/>
      <w:r/>
      <w:bookmarkStart w:id="482" w:name="_Toc399227849"/>
      <w:r/>
      <w:bookmarkStart w:id="483" w:name="_Toc288030352"/>
      <w:r/>
      <w:bookmarkStart w:id="484" w:name="_Toc462564122"/>
      <w:r/>
      <w:bookmarkStart w:id="485" w:name="_Toc399228182"/>
      <w:r/>
      <w:bookmarkStart w:id="486" w:name="_Toc120614242"/>
      <w:r/>
      <w:bookmarkStart w:id="487" w:name="_Toc282446316"/>
      <w:r/>
      <w:bookmarkStart w:id="488" w:name="_Toc513029263"/>
      <w:r/>
      <w:bookmarkStart w:id="489" w:name="_Toc425871379"/>
      <w:r/>
      <w:bookmarkStart w:id="490" w:name="_Toc16938579"/>
      <w:r/>
      <w:bookmarkStart w:id="491" w:name="_Toc399658024"/>
      <w:r/>
      <w:bookmarkStart w:id="492" w:name="_Toc399853491"/>
      <w:r>
        <w:rPr>
          <w:rFonts w:hint="eastAsia" w:ascii="宋体" w:hAnsi="宋体" w:cs="宋体"/>
          <w:sz w:val="28"/>
          <w:szCs w:val="21"/>
        </w:rPr>
        <w:t xml:space="preserve">13、转让</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493" w:name="_Toc462564123"/>
      <w:r/>
      <w:bookmarkStart w:id="494" w:name="_Toc399658025"/>
      <w:r/>
      <w:bookmarkStart w:id="495" w:name="_Toc120614243"/>
      <w:r/>
      <w:bookmarkStart w:id="496" w:name="_Toc513029264"/>
      <w:r/>
      <w:bookmarkStart w:id="497" w:name="_Toc399228183"/>
      <w:r/>
      <w:bookmarkStart w:id="498" w:name="_Toc425871380"/>
      <w:r/>
      <w:bookmarkStart w:id="499" w:name="_Toc399853492"/>
      <w:r/>
      <w:bookmarkStart w:id="500" w:name="_Toc20823336"/>
      <w:r/>
      <w:bookmarkStart w:id="501" w:name="_Toc399227850"/>
      <w:r/>
      <w:bookmarkStart w:id="502" w:name="_Toc16938580"/>
      <w:r/>
      <w:bookmarkStart w:id="503" w:name="_Toc282446317"/>
      <w:r/>
      <w:bookmarkStart w:id="504" w:name="_Toc288030353"/>
      <w:r>
        <w:rPr>
          <w:rFonts w:hint="eastAsia" w:ascii="宋体" w:hAnsi="宋体" w:cs="宋体"/>
          <w:sz w:val="28"/>
          <w:szCs w:val="21"/>
        </w:rPr>
        <w:t xml:space="preserve">14、合同生效及其它</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b/>
          <w:bCs/>
          <w:sz w:val="28"/>
          <w:szCs w:val="28"/>
        </w:rPr>
        <w:outlineLvl w:val="1"/>
      </w:pPr>
      <w:r>
        <w:rPr>
          <w:rFonts w:hint="eastAsia" w:ascii="宋体" w:hAnsi="宋体" w:cs="Arial"/>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根据《中华人民共和国政府采购法》、《中华人民共和国民法典》和相关行业法律法规等法律法规的规定，甲乙双方按照**的招标结果</w:t>
      </w:r>
      <w:r>
        <w:rPr>
          <w:rFonts w:hint="eastAsia" w:ascii="宋体" w:hAnsi="宋体"/>
          <w:sz w:val="28"/>
          <w:szCs w:val="28"/>
        </w:rPr>
        <w:t xml:space="preserve">签订本合同。</w:t>
      </w:r>
      <w:r/>
    </w:p>
    <w:p>
      <w:pPr>
        <w:ind w:firstLine="562"/>
        <w:spacing w:line="500" w:lineRule="exact"/>
        <w:rPr>
          <w:rFonts w:ascii="宋体" w:hAnsi="宋体"/>
          <w:b/>
          <w:sz w:val="28"/>
          <w:szCs w:val="28"/>
        </w:rPr>
      </w:pPr>
      <w:r>
        <w:rPr>
          <w:rFonts w:hint="eastAsia" w:ascii="宋体" w:hAnsi="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b/>
          <w:sz w:val="28"/>
          <w:szCs w:val="28"/>
        </w:rPr>
      </w:pPr>
      <w:r>
        <w:rPr>
          <w:rFonts w:hint="eastAsia" w:ascii="宋体" w:hAnsi="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b/>
          <w:sz w:val="28"/>
          <w:szCs w:val="28"/>
        </w:rPr>
      </w:pPr>
      <w:r>
        <w:rPr>
          <w:rFonts w:hint="eastAsia" w:ascii="宋体" w:hAnsi="宋体"/>
          <w:sz w:val="28"/>
          <w:szCs w:val="28"/>
        </w:rPr>
        <w:t xml:space="preserve"> </w:t>
      </w:r>
      <w:r>
        <w:rPr>
          <w:rFonts w:hint="eastAsia" w:ascii="宋体" w:hAnsi="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sz w:val="28"/>
          <w:szCs w:val="28"/>
        </w:rPr>
      </w:pPr>
      <w:r>
        <w:rPr>
          <w:rFonts w:hint="eastAsia" w:ascii="宋体" w:hAnsi="宋体"/>
          <w:b/>
          <w:sz w:val="28"/>
          <w:szCs w:val="28"/>
        </w:rPr>
        <w:t xml:space="preserve">四.服务工作执行技术标准、验收标准及工期：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sz w:val="28"/>
          <w:szCs w:val="28"/>
        </w:rPr>
      </w:pPr>
      <w:r>
        <w:rPr>
          <w:rFonts w:hint="eastAsia" w:ascii="宋体" w:hAnsi="宋体"/>
          <w:sz w:val="28"/>
          <w:szCs w:val="28"/>
        </w:rPr>
        <w:t xml:space="preserve">2、验收时间及标准：</w:t>
      </w:r>
      <w:r/>
    </w:p>
    <w:p>
      <w:pPr>
        <w:pStyle w:val="650"/>
        <w:ind w:firstLine="560"/>
        <w:spacing w:line="500" w:lineRule="exact"/>
      </w:pPr>
      <w:r>
        <w:rPr>
          <w:rFonts w:hint="eastAsia" w:ascii="宋体" w:hAnsi="宋体" w:cs="宋体"/>
          <w:sz w:val="28"/>
          <w:szCs w:val="28"/>
        </w:rPr>
        <w:t xml:space="preserve">3、项目履行期限：</w:t>
      </w:r>
      <w:r/>
    </w:p>
    <w:p>
      <w:pPr>
        <w:ind w:firstLine="562"/>
        <w:spacing w:line="500" w:lineRule="exact"/>
        <w:rPr>
          <w:rFonts w:ascii="宋体" w:hAnsi="宋体" w:cs="宋体"/>
          <w:sz w:val="28"/>
          <w:szCs w:val="28"/>
        </w:rPr>
      </w:pPr>
      <w:r>
        <w:rPr>
          <w:rFonts w:hint="eastAsia" w:ascii="宋体" w:hAnsi="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2、项目价款：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 xml:space="preserve">⑴</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 xml:space="preserve">⑵</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sz w:val="28"/>
          <w:szCs w:val="28"/>
        </w:rPr>
      </w:pPr>
      <w:r>
        <w:rPr>
          <w:rFonts w:hint="eastAsia" w:ascii="宋体" w:hAnsi="宋体"/>
          <w:b/>
          <w:bCs/>
          <w:sz w:val="28"/>
          <w:szCs w:val="28"/>
        </w:rPr>
        <w:t xml:space="preserve">六</w:t>
      </w:r>
      <w:r>
        <w:rPr>
          <w:rFonts w:hint="eastAsia" w:ascii="宋体" w:hAnsi="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sz w:val="28"/>
          <w:szCs w:val="28"/>
        </w:rPr>
      </w:pPr>
      <w:r>
        <w:rPr>
          <w:rFonts w:hint="eastAsia" w:ascii="宋体" w:hAnsi="宋体"/>
          <w:b/>
          <w:bCs/>
          <w:sz w:val="28"/>
          <w:szCs w:val="28"/>
        </w:rPr>
        <w:t xml:space="preserve">七</w:t>
      </w:r>
      <w:r>
        <w:rPr>
          <w:rFonts w:hint="eastAsia" w:ascii="宋体" w:hAnsi="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sz w:val="28"/>
        </w:rPr>
      </w:pPr>
      <w:r>
        <w:rPr>
          <w:rFonts w:hint="eastAsia" w:ascii="宋体" w:hAnsi="宋体"/>
          <w:b/>
          <w:sz w:val="28"/>
          <w:szCs w:val="28"/>
        </w:rPr>
        <w:t xml:space="preserve">八、</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b/>
          <w:sz w:val="28"/>
          <w:szCs w:val="28"/>
        </w:rPr>
      </w:pPr>
      <w:r>
        <w:rPr>
          <w:rFonts w:hint="eastAsia" w:ascii="宋体" w:hAnsi="宋体"/>
          <w:b/>
          <w:sz w:val="28"/>
          <w:szCs w:val="28"/>
        </w:rPr>
        <w:t xml:space="preserve">九、履约保证金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 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的形式：支票、汇票、本票或者金融机构、担保机构出具的保函等非现金形式</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的金额：</w:t>
      </w:r>
      <w:r>
        <w:rPr>
          <w:rFonts w:hint="eastAsia" w:ascii="宋体" w:hAnsi="宋体" w:cs="宋体"/>
          <w:sz w:val="28"/>
          <w:szCs w:val="28"/>
        </w:rPr>
        <w:t xml:space="preserve">合同价的</w:t>
      </w:r>
      <w:r>
        <w:rPr>
          <w:rFonts w:hint="eastAsia" w:ascii="宋体" w:hAnsi="宋体" w:cs="宋体"/>
          <w:sz w:val="28"/>
          <w:szCs w:val="28"/>
          <w:u w:val="single"/>
        </w:rPr>
        <w:t xml:space="preserve">              </w:t>
      </w:r>
      <w:r>
        <w:rPr>
          <w:rFonts w:hint="eastAsia" w:ascii="宋体" w:hAnsi="宋体" w:cs="宋体"/>
          <w:sz w:val="28"/>
          <w:szCs w:val="28"/>
        </w:rPr>
        <w:t xml:space="preserve">%</w:t>
      </w:r>
      <w:r/>
    </w:p>
    <w:p>
      <w:pPr>
        <w:pStyle w:val="650"/>
        <w:spacing w:line="500" w:lineRule="exact"/>
        <w:rPr>
          <w:rFonts w:ascii="宋体" w:hAnsi="宋体" w:cs="宋体"/>
          <w:sz w:val="28"/>
          <w:szCs w:val="28"/>
        </w:rPr>
      </w:pPr>
      <w:r>
        <w:rPr>
          <w:rFonts w:hint="eastAsia" w:ascii="宋体" w:hAnsi="宋体" w:cs="宋体"/>
          <w:sz w:val="28"/>
          <w:szCs w:val="28"/>
        </w:rPr>
        <w:t xml:space="preserve">    履约保证金退还方式、时间、条件：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2、如卖方未能履行合同规定的义务，买方有权从履约保证金中取得补偿。</w:t>
      </w:r>
      <w:r/>
    </w:p>
    <w:p>
      <w:pPr>
        <w:ind w:firstLine="560"/>
        <w:spacing w:line="500" w:lineRule="exact"/>
        <w:rPr>
          <w:rFonts w:ascii="宋体" w:hAnsi="宋体" w:cs="宋体"/>
          <w:sz w:val="28"/>
          <w:szCs w:val="28"/>
        </w:rPr>
      </w:pPr>
      <w:r>
        <w:rPr>
          <w:rFonts w:hint="eastAsia" w:ascii="宋体" w:hAnsi="宋体" w:cs="宋体"/>
          <w:sz w:val="28"/>
          <w:szCs w:val="28"/>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b/>
          <w:sz w:val="28"/>
          <w:szCs w:val="28"/>
        </w:rPr>
      </w:pPr>
      <w:r>
        <w:rPr>
          <w:rFonts w:hint="eastAsia" w:ascii="宋体" w:hAnsi="宋体"/>
          <w:b/>
          <w:sz w:val="28"/>
          <w:szCs w:val="28"/>
        </w:rPr>
        <w:t xml:space="preserve">十．不可抗力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b/>
          <w:sz w:val="28"/>
          <w:szCs w:val="28"/>
        </w:rPr>
      </w:pPr>
      <w:r>
        <w:rPr>
          <w:rFonts w:hint="eastAsia" w:ascii="宋体" w:hAnsi="宋体"/>
          <w:b/>
          <w:sz w:val="28"/>
          <w:szCs w:val="28"/>
        </w:rPr>
        <w:t xml:space="preserve">十一．税费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b/>
          <w:sz w:val="28"/>
          <w:szCs w:val="28"/>
        </w:rPr>
      </w:pPr>
      <w:r>
        <w:rPr>
          <w:rFonts w:hint="eastAsia" w:ascii="宋体" w:hAnsi="宋体"/>
          <w:b/>
          <w:sz w:val="28"/>
          <w:szCs w:val="28"/>
        </w:rPr>
        <w:t xml:space="preserve">十二．争议</w:t>
      </w:r>
      <w:r/>
    </w:p>
    <w:p>
      <w:pPr>
        <w:ind w:firstLine="560"/>
        <w:spacing w:line="500" w:lineRule="exact"/>
        <w:rPr>
          <w:rFonts w:ascii="宋体" w:hAnsi="宋体"/>
          <w:sz w:val="28"/>
          <w:szCs w:val="28"/>
        </w:rPr>
      </w:pPr>
      <w:r>
        <w:rPr>
          <w:rFonts w:hint="eastAsia" w:ascii="宋体" w:hAnsi="宋体"/>
          <w:sz w:val="28"/>
          <w:szCs w:val="28"/>
        </w:rPr>
        <w:t xml:space="preserve">1.在执行本合同中发生的或与本合同有关的争端，双方应通过友好协商解决。</w:t>
      </w:r>
      <w:r>
        <w:rPr>
          <w:rFonts w:hint="eastAsia" w:ascii="宋体" w:hAnsi="宋体" w:cs="宋体"/>
          <w:sz w:val="28"/>
          <w:szCs w:val="28"/>
        </w:rPr>
        <w:t xml:space="preserve">经协商不能达成协议时，可向泰兴市仲裁委员会按其仲裁规则申请仲裁。仲裁不成功，向合同签约地的人民法院提请诉讼。</w:t>
      </w:r>
      <w:r/>
    </w:p>
    <w:p>
      <w:pPr>
        <w:ind w:firstLine="560"/>
        <w:spacing w:line="500" w:lineRule="exact"/>
        <w:rPr>
          <w:rFonts w:ascii="宋体" w:hAnsi="宋体"/>
          <w:sz w:val="28"/>
          <w:szCs w:val="28"/>
        </w:rPr>
      </w:pPr>
      <w:r>
        <w:rPr>
          <w:rFonts w:hint="eastAsia" w:ascii="宋体" w:hAnsi="宋体"/>
          <w:sz w:val="28"/>
          <w:szCs w:val="28"/>
        </w:rPr>
        <w:t xml:space="preserve">2.在仲裁和诉讼期间，双方应继续履行争议部分以外的合同内容。</w:t>
      </w:r>
      <w:r/>
    </w:p>
    <w:p>
      <w:pPr>
        <w:ind w:firstLine="562"/>
        <w:spacing w:line="500" w:lineRule="exact"/>
        <w:rPr>
          <w:rFonts w:ascii="宋体" w:hAnsi="宋体"/>
          <w:b/>
          <w:sz w:val="28"/>
          <w:szCs w:val="28"/>
        </w:rPr>
      </w:pPr>
      <w:r>
        <w:rPr>
          <w:rFonts w:hint="eastAsia" w:ascii="宋体" w:hAnsi="宋体"/>
          <w:b/>
          <w:sz w:val="28"/>
          <w:szCs w:val="28"/>
        </w:rPr>
        <w:t xml:space="preserve">十三．违约终止合同</w:t>
      </w:r>
      <w:r/>
    </w:p>
    <w:p>
      <w:pPr>
        <w:ind w:firstLine="560"/>
        <w:spacing w:line="500" w:lineRule="exact"/>
        <w:rPr>
          <w:rFonts w:ascii="宋体" w:hAnsi="宋体"/>
          <w:sz w:val="28"/>
          <w:szCs w:val="28"/>
        </w:rPr>
      </w:pPr>
      <w:r>
        <w:rPr>
          <w:rFonts w:hint="eastAsia" w:ascii="宋体" w:hAnsi="宋体"/>
          <w:sz w:val="28"/>
          <w:szCs w:val="28"/>
        </w:rPr>
        <w:t xml:space="preserve">1 .违约责任</w:t>
      </w:r>
      <w:r/>
    </w:p>
    <w:p>
      <w:pPr>
        <w:ind w:firstLine="560"/>
        <w:spacing w:line="500" w:lineRule="exact"/>
        <w:rPr>
          <w:rFonts w:ascii="宋体" w:hAnsi="宋体"/>
          <w:sz w:val="28"/>
          <w:szCs w:val="28"/>
        </w:rPr>
      </w:pPr>
      <w:r>
        <w:rPr>
          <w:rFonts w:hint="eastAsia" w:ascii="宋体" w:hAnsi="宋体"/>
          <w:sz w:val="28"/>
          <w:szCs w:val="28"/>
        </w:rPr>
        <w:t xml:space="preserve">有下列情况之一的，甲方有权终止协议：</w:t>
      </w:r>
      <w:r/>
    </w:p>
    <w:p>
      <w:pPr>
        <w:ind w:firstLine="560"/>
        <w:spacing w:line="500" w:lineRule="exact"/>
        <w:rPr>
          <w:rFonts w:ascii="宋体" w:hAnsi="宋体"/>
          <w:sz w:val="28"/>
          <w:szCs w:val="28"/>
        </w:rPr>
      </w:pPr>
      <w:r>
        <w:rPr>
          <w:rFonts w:hint="eastAsia" w:ascii="宋体" w:hAnsi="宋体"/>
          <w:sz w:val="28"/>
          <w:szCs w:val="28"/>
        </w:rPr>
        <w:t xml:space="preserve">1.1</w:t>
      </w:r>
      <w:r>
        <w:rPr>
          <w:rFonts w:hint="eastAsia" w:ascii="宋体" w:hAnsi="宋体" w:cs="宋体"/>
          <w:sz w:val="28"/>
          <w:szCs w:val="28"/>
        </w:rPr>
        <w:t xml:space="preserve">乙方未能按</w:t>
      </w:r>
      <w:r>
        <w:rPr>
          <w:rFonts w:hint="eastAsia" w:ascii="宋体" w:hAnsi="宋体"/>
          <w:sz w:val="28"/>
          <w:szCs w:val="28"/>
        </w:rPr>
        <w:t xml:space="preserve">上级</w:t>
      </w:r>
      <w:r>
        <w:rPr>
          <w:rFonts w:hint="eastAsia" w:ascii="宋体" w:hAnsi="宋体" w:cs="宋体"/>
          <w:sz w:val="28"/>
          <w:szCs w:val="28"/>
        </w:rPr>
        <w:t xml:space="preserve">要求造成结果失真或未能按进保质完成甲方委托任务的。</w:t>
      </w:r>
      <w:r/>
    </w:p>
    <w:p>
      <w:pPr>
        <w:ind w:firstLine="560"/>
        <w:spacing w:line="500" w:lineRule="exact"/>
        <w:rPr>
          <w:rFonts w:ascii="宋体" w:hAnsi="宋体"/>
          <w:sz w:val="28"/>
          <w:szCs w:val="28"/>
        </w:rPr>
      </w:pPr>
      <w:r>
        <w:rPr>
          <w:rFonts w:hint="eastAsia" w:ascii="宋体" w:hAnsi="宋体"/>
          <w:sz w:val="28"/>
          <w:szCs w:val="28"/>
        </w:rPr>
        <w:t xml:space="preserve">1.2乙方违反从业道德，影响甲方声誉或投诉查实的。</w:t>
      </w:r>
      <w:r/>
    </w:p>
    <w:p>
      <w:pPr>
        <w:ind w:firstLine="560"/>
        <w:spacing w:line="500" w:lineRule="exact"/>
        <w:rPr>
          <w:rFonts w:ascii="宋体" w:hAnsi="宋体"/>
          <w:sz w:val="28"/>
          <w:szCs w:val="28"/>
        </w:rPr>
      </w:pPr>
      <w:r>
        <w:rPr>
          <w:rFonts w:hint="eastAsia" w:ascii="宋体" w:hAnsi="宋体"/>
          <w:sz w:val="28"/>
          <w:szCs w:val="28"/>
        </w:rPr>
        <w:t xml:space="preserve">2.因解除而终止</w:t>
      </w:r>
      <w:r/>
    </w:p>
    <w:p>
      <w:pPr>
        <w:ind w:firstLine="560"/>
        <w:spacing w:line="500" w:lineRule="exact"/>
        <w:rPr>
          <w:rFonts w:ascii="宋体" w:hAnsi="宋体"/>
          <w:sz w:val="28"/>
          <w:szCs w:val="28"/>
        </w:rPr>
      </w:pPr>
      <w:r>
        <w:rPr>
          <w:rFonts w:hint="eastAsia" w:ascii="宋体" w:hAnsi="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sz w:val="28"/>
          <w:szCs w:val="28"/>
        </w:rPr>
      </w:pPr>
      <w:r>
        <w:rPr>
          <w:rFonts w:hint="eastAsia" w:ascii="宋体" w:hAnsi="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sz w:val="28"/>
          <w:szCs w:val="28"/>
        </w:rPr>
      </w:pPr>
      <w:r>
        <w:rPr>
          <w:rFonts w:hint="eastAsia" w:ascii="宋体" w:hAnsi="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sz w:val="28"/>
          <w:szCs w:val="28"/>
        </w:rPr>
      </w:pPr>
      <w:r>
        <w:rPr>
          <w:rFonts w:hint="eastAsia" w:ascii="宋体" w:hAnsi="宋体"/>
          <w:sz w:val="28"/>
          <w:szCs w:val="28"/>
        </w:rPr>
        <w:t xml:space="preserve">2.4合同终止后，不妨碍守约方向违约方追究违约责任。</w:t>
      </w:r>
      <w:r/>
    </w:p>
    <w:p>
      <w:pPr>
        <w:ind w:firstLine="560"/>
        <w:spacing w:line="500" w:lineRule="exact"/>
        <w:rPr>
          <w:rFonts w:ascii="宋体" w:hAnsi="宋体"/>
          <w:sz w:val="28"/>
          <w:szCs w:val="28"/>
        </w:rPr>
      </w:pPr>
      <w:r>
        <w:rPr>
          <w:rFonts w:hint="eastAsia" w:ascii="宋体" w:hAnsi="宋体"/>
          <w:sz w:val="28"/>
          <w:szCs w:val="28"/>
        </w:rPr>
        <w:t xml:space="preserve">3.甲方未能按规定时限支付评估经费的，每延迟一天，按应付金额的0.1%对乙方进行违约赔偿。</w:t>
      </w:r>
      <w:r/>
    </w:p>
    <w:p>
      <w:pPr>
        <w:ind w:firstLine="562"/>
        <w:spacing w:line="500" w:lineRule="exact"/>
        <w:rPr>
          <w:rFonts w:ascii="宋体" w:hAnsi="宋体"/>
          <w:b/>
          <w:sz w:val="28"/>
          <w:szCs w:val="28"/>
        </w:rPr>
      </w:pPr>
      <w:r>
        <w:rPr>
          <w:rFonts w:hint="eastAsia" w:ascii="宋体" w:hAnsi="宋体"/>
          <w:b/>
          <w:sz w:val="28"/>
          <w:szCs w:val="28"/>
        </w:rPr>
        <w:t xml:space="preserve">十四．变更指示</w:t>
      </w:r>
      <w:r/>
    </w:p>
    <w:p>
      <w:pPr>
        <w:ind w:firstLine="560"/>
        <w:spacing w:line="500" w:lineRule="exact"/>
        <w:rPr>
          <w:rFonts w:ascii="宋体" w:hAnsi="宋体"/>
          <w:sz w:val="28"/>
          <w:szCs w:val="28"/>
        </w:rPr>
      </w:pPr>
      <w:r>
        <w:rPr>
          <w:rFonts w:hint="eastAsia" w:ascii="宋体" w:hAnsi="宋体"/>
          <w:sz w:val="28"/>
          <w:szCs w:val="28"/>
        </w:rPr>
        <w:t xml:space="preserve">1.甲方有权根据实际需要，在《政府采购法》允许的范围内提出变更要求。</w:t>
      </w:r>
      <w:r/>
    </w:p>
    <w:p>
      <w:pPr>
        <w:ind w:firstLine="560"/>
        <w:spacing w:line="500" w:lineRule="exact"/>
        <w:rPr>
          <w:rFonts w:ascii="宋体" w:hAnsi="宋体"/>
          <w:sz w:val="28"/>
          <w:szCs w:val="28"/>
        </w:rPr>
      </w:pPr>
      <w:r>
        <w:rPr>
          <w:rFonts w:hint="eastAsia" w:ascii="宋体" w:hAnsi="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b/>
          <w:sz w:val="28"/>
          <w:szCs w:val="28"/>
        </w:rPr>
      </w:pPr>
      <w:r>
        <w:rPr>
          <w:rFonts w:hint="eastAsia" w:ascii="宋体" w:hAnsi="宋体"/>
          <w:b/>
          <w:sz w:val="28"/>
          <w:szCs w:val="28"/>
        </w:rPr>
        <w:t xml:space="preserve">十五．合同修改</w:t>
      </w:r>
      <w:r/>
    </w:p>
    <w:p>
      <w:pPr>
        <w:ind w:firstLine="560"/>
        <w:spacing w:line="500" w:lineRule="exact"/>
        <w:rPr>
          <w:rFonts w:ascii="宋体" w:hAnsi="宋体"/>
          <w:sz w:val="28"/>
          <w:szCs w:val="28"/>
        </w:rPr>
      </w:pPr>
      <w:r>
        <w:rPr>
          <w:rFonts w:hint="eastAsia" w:ascii="宋体" w:hAnsi="宋体"/>
          <w:sz w:val="28"/>
          <w:szCs w:val="28"/>
        </w:rPr>
        <w:t xml:space="preserve">1.对合同条款作出任何改动或偏离，均须甲乙双方签署书面的合同修改书。</w:t>
      </w:r>
      <w:r/>
    </w:p>
    <w:p>
      <w:pPr>
        <w:ind w:firstLine="562"/>
        <w:spacing w:line="500" w:lineRule="exact"/>
        <w:rPr>
          <w:rFonts w:ascii="宋体" w:hAnsi="宋体"/>
          <w:b/>
          <w:sz w:val="28"/>
          <w:szCs w:val="28"/>
        </w:rPr>
      </w:pPr>
      <w:r>
        <w:rPr>
          <w:rFonts w:hint="eastAsia" w:ascii="宋体" w:hAnsi="宋体"/>
          <w:b/>
          <w:sz w:val="28"/>
          <w:szCs w:val="28"/>
        </w:rPr>
        <w:t xml:space="preserve">十六．适用法律</w:t>
      </w:r>
      <w:r/>
    </w:p>
    <w:p>
      <w:pPr>
        <w:ind w:firstLine="560"/>
        <w:spacing w:line="500" w:lineRule="exact"/>
        <w:rPr>
          <w:rFonts w:ascii="宋体" w:hAnsi="宋体"/>
          <w:sz w:val="28"/>
          <w:szCs w:val="28"/>
        </w:rPr>
      </w:pPr>
      <w:r>
        <w:rPr>
          <w:rFonts w:hint="eastAsia" w:ascii="宋体" w:hAnsi="宋体"/>
          <w:sz w:val="28"/>
          <w:szCs w:val="28"/>
        </w:rPr>
        <w:t xml:space="preserve">l.本合同应按中华人民共和国的法律解释。</w:t>
      </w:r>
      <w:r/>
    </w:p>
    <w:p>
      <w:pPr>
        <w:ind w:firstLine="562"/>
        <w:spacing w:line="500" w:lineRule="exact"/>
        <w:rPr>
          <w:rFonts w:ascii="宋体" w:hAnsi="宋体"/>
          <w:b/>
          <w:sz w:val="28"/>
          <w:szCs w:val="28"/>
        </w:rPr>
      </w:pPr>
      <w:r>
        <w:rPr>
          <w:rFonts w:hint="eastAsia" w:ascii="宋体" w:hAnsi="宋体"/>
          <w:b/>
          <w:sz w:val="28"/>
          <w:szCs w:val="28"/>
        </w:rPr>
        <w:t xml:space="preserve">十七．语言与计量单位</w:t>
      </w:r>
      <w:r/>
    </w:p>
    <w:p>
      <w:pPr>
        <w:ind w:firstLine="560"/>
        <w:spacing w:line="500" w:lineRule="exact"/>
        <w:rPr>
          <w:rFonts w:ascii="宋体" w:hAnsi="宋体"/>
          <w:sz w:val="28"/>
          <w:szCs w:val="28"/>
        </w:rPr>
      </w:pPr>
      <w:r>
        <w:rPr>
          <w:rFonts w:hint="eastAsia" w:ascii="宋体" w:hAnsi="宋体"/>
          <w:sz w:val="28"/>
          <w:szCs w:val="28"/>
        </w:rPr>
        <w:t xml:space="preserve">1.合同书写应用中文。甲乙双方所有的来往函电以及与合同有关的文件均应以中文书写。</w:t>
      </w:r>
      <w:r/>
    </w:p>
    <w:p>
      <w:pPr>
        <w:ind w:firstLine="560"/>
        <w:spacing w:line="500" w:lineRule="exact"/>
        <w:rPr>
          <w:rFonts w:ascii="宋体" w:hAnsi="宋体"/>
          <w:sz w:val="28"/>
          <w:szCs w:val="28"/>
        </w:rPr>
      </w:pPr>
      <w:r>
        <w:rPr>
          <w:rFonts w:hint="eastAsia" w:ascii="宋体" w:hAnsi="宋体"/>
          <w:sz w:val="28"/>
          <w:szCs w:val="28"/>
        </w:rPr>
        <w:t xml:space="preserve">2.除技术规格中另有规定外，计量单位均使用国际单位制。</w:t>
      </w:r>
      <w:r/>
    </w:p>
    <w:p>
      <w:pPr>
        <w:ind w:firstLine="562"/>
        <w:spacing w:line="500" w:lineRule="exact"/>
        <w:rPr>
          <w:rFonts w:ascii="宋体" w:hAnsi="宋体"/>
          <w:b/>
          <w:sz w:val="28"/>
          <w:szCs w:val="28"/>
        </w:rPr>
      </w:pPr>
      <w:r>
        <w:rPr>
          <w:rFonts w:hint="eastAsia" w:ascii="宋体" w:hAnsi="宋体"/>
          <w:b/>
          <w:sz w:val="28"/>
          <w:szCs w:val="28"/>
        </w:rPr>
        <w:t xml:space="preserve">十八．通知</w:t>
      </w:r>
      <w:r/>
    </w:p>
    <w:p>
      <w:pPr>
        <w:ind w:firstLine="560"/>
        <w:spacing w:line="500" w:lineRule="exact"/>
        <w:rPr>
          <w:rFonts w:ascii="宋体" w:hAnsi="宋体"/>
          <w:sz w:val="28"/>
          <w:szCs w:val="28"/>
        </w:rPr>
      </w:pPr>
      <w:r>
        <w:rPr>
          <w:rFonts w:hint="eastAsia" w:ascii="宋体" w:hAnsi="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b/>
          <w:sz w:val="28"/>
          <w:szCs w:val="28"/>
        </w:rPr>
      </w:pPr>
      <w:r>
        <w:rPr>
          <w:rFonts w:hint="eastAsia" w:ascii="宋体" w:hAnsi="宋体"/>
          <w:b/>
          <w:sz w:val="28"/>
          <w:szCs w:val="28"/>
        </w:rPr>
        <w:t xml:space="preserve">十九．合同文件及资料的保密</w:t>
      </w:r>
      <w:r/>
    </w:p>
    <w:p>
      <w:pPr>
        <w:ind w:firstLine="542"/>
        <w:spacing w:line="500" w:lineRule="exact"/>
        <w:rPr>
          <w:rFonts w:ascii="宋体" w:hAnsi="宋体"/>
          <w:sz w:val="28"/>
          <w:szCs w:val="28"/>
        </w:rPr>
      </w:pPr>
      <w:r>
        <w:rPr>
          <w:rFonts w:hint="eastAsia" w:ascii="宋体" w:hAnsi="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sz w:val="28"/>
          <w:szCs w:val="28"/>
        </w:rPr>
      </w:pPr>
      <w:r>
        <w:rPr>
          <w:rFonts w:hint="eastAsia" w:ascii="宋体" w:hAnsi="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b/>
          <w:sz w:val="28"/>
          <w:szCs w:val="28"/>
        </w:rPr>
      </w:pPr>
      <w:r>
        <w:rPr>
          <w:rFonts w:hint="eastAsia" w:ascii="宋体" w:hAnsi="宋体"/>
          <w:b/>
          <w:sz w:val="28"/>
          <w:szCs w:val="28"/>
        </w:rPr>
        <w:t xml:space="preserve">二十．合同生效及其他</w:t>
      </w:r>
      <w:r/>
    </w:p>
    <w:p>
      <w:pPr>
        <w:ind w:firstLine="560"/>
        <w:spacing w:line="500" w:lineRule="exact"/>
        <w:rPr>
          <w:rFonts w:ascii="宋体" w:hAnsi="宋体"/>
          <w:sz w:val="28"/>
          <w:szCs w:val="28"/>
        </w:rPr>
      </w:pPr>
      <w:r>
        <w:rPr>
          <w:rFonts w:hint="eastAsia" w:ascii="宋体" w:hAnsi="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sz w:val="28"/>
          <w:szCs w:val="28"/>
        </w:rPr>
      </w:pPr>
      <w:r>
        <w:rPr>
          <w:rFonts w:hint="eastAsia" w:ascii="宋体" w:hAnsi="宋体"/>
          <w:sz w:val="28"/>
          <w:szCs w:val="28"/>
        </w:rPr>
        <w:t xml:space="preserve">2.合同一式肆份，具有同等法律效力。</w:t>
      </w:r>
      <w:r/>
    </w:p>
    <w:p>
      <w:pPr>
        <w:ind w:firstLine="562"/>
        <w:spacing w:line="500" w:lineRule="exact"/>
        <w:rPr>
          <w:rFonts w:ascii="宋体" w:hAnsi="宋体"/>
          <w:b/>
          <w:sz w:val="28"/>
          <w:szCs w:val="28"/>
        </w:rPr>
      </w:pPr>
      <w:r>
        <w:rPr>
          <w:rFonts w:hint="eastAsia" w:ascii="宋体" w:hAnsi="宋体"/>
          <w:b/>
          <w:sz w:val="28"/>
          <w:szCs w:val="28"/>
        </w:rPr>
        <w:t xml:space="preserve">二十一．合同文件及解释顺序</w:t>
      </w:r>
      <w:r/>
    </w:p>
    <w:p>
      <w:pPr>
        <w:ind w:firstLine="560"/>
        <w:spacing w:line="500" w:lineRule="exact"/>
        <w:rPr>
          <w:rFonts w:ascii="宋体" w:hAnsi="宋体"/>
          <w:sz w:val="28"/>
          <w:szCs w:val="28"/>
        </w:rPr>
      </w:pPr>
      <w:r>
        <w:rPr>
          <w:rFonts w:hint="eastAsia" w:ascii="宋体" w:hAnsi="宋体"/>
          <w:sz w:val="28"/>
          <w:szCs w:val="28"/>
        </w:rPr>
        <w:t xml:space="preserve">下列文件均为合同组成文件</w:t>
      </w:r>
      <w:r/>
    </w:p>
    <w:p>
      <w:pPr>
        <w:ind w:firstLine="560"/>
        <w:spacing w:line="500" w:lineRule="exact"/>
        <w:rPr>
          <w:rFonts w:ascii="宋体" w:hAnsi="宋体"/>
          <w:sz w:val="28"/>
          <w:szCs w:val="28"/>
        </w:rPr>
      </w:pPr>
      <w:r>
        <w:rPr>
          <w:rFonts w:hint="eastAsia" w:ascii="宋体" w:hAnsi="宋体"/>
          <w:sz w:val="28"/>
          <w:szCs w:val="28"/>
        </w:rPr>
        <w:t xml:space="preserve">1.招标文件（包括澄清、答疑、修改和补充通知）</w:t>
      </w:r>
      <w:r/>
    </w:p>
    <w:p>
      <w:pPr>
        <w:ind w:firstLine="560"/>
        <w:spacing w:line="500" w:lineRule="exact"/>
        <w:rPr>
          <w:rFonts w:ascii="宋体" w:hAnsi="宋体"/>
          <w:sz w:val="28"/>
          <w:szCs w:val="28"/>
        </w:rPr>
      </w:pPr>
      <w:r>
        <w:rPr>
          <w:rFonts w:hint="eastAsia" w:ascii="宋体" w:hAnsi="宋体"/>
          <w:sz w:val="28"/>
          <w:szCs w:val="28"/>
        </w:rPr>
        <w:t xml:space="preserve">2.投标文件（包括修改、澄清）</w:t>
      </w:r>
      <w:r/>
    </w:p>
    <w:p>
      <w:pPr>
        <w:ind w:firstLine="560"/>
        <w:spacing w:line="500" w:lineRule="exact"/>
        <w:rPr>
          <w:rFonts w:ascii="宋体" w:hAnsi="宋体"/>
          <w:sz w:val="28"/>
          <w:szCs w:val="28"/>
        </w:rPr>
      </w:pPr>
      <w:r>
        <w:rPr>
          <w:rFonts w:hint="eastAsia" w:ascii="宋体" w:hAnsi="宋体"/>
          <w:sz w:val="28"/>
          <w:szCs w:val="28"/>
        </w:rPr>
        <w:t xml:space="preserve">3.中标通知书（包括投标人“回执”）</w:t>
      </w:r>
      <w:r/>
    </w:p>
    <w:p>
      <w:pPr>
        <w:ind w:firstLine="560"/>
        <w:spacing w:line="500" w:lineRule="exact"/>
        <w:rPr>
          <w:rFonts w:ascii="宋体" w:hAnsi="宋体"/>
          <w:sz w:val="28"/>
          <w:szCs w:val="28"/>
        </w:rPr>
      </w:pPr>
      <w:r>
        <w:rPr>
          <w:rFonts w:hint="eastAsia" w:ascii="宋体" w:hAnsi="宋体"/>
          <w:sz w:val="28"/>
          <w:szCs w:val="28"/>
        </w:rPr>
        <w:t xml:space="preserve">4.双方商定的补充协议或合同期内双方签署的备忘录</w:t>
      </w:r>
      <w:r/>
    </w:p>
    <w:p>
      <w:pPr>
        <w:ind w:firstLine="560"/>
        <w:spacing w:line="500" w:lineRule="exact"/>
        <w:rPr>
          <w:rFonts w:ascii="宋体" w:hAnsi="宋体"/>
          <w:sz w:val="28"/>
          <w:szCs w:val="28"/>
        </w:rPr>
      </w:pPr>
      <w:r>
        <w:rPr>
          <w:rFonts w:hint="eastAsia" w:ascii="宋体" w:hAnsi="宋体"/>
          <w:sz w:val="28"/>
          <w:szCs w:val="28"/>
        </w:rPr>
        <w:t xml:space="preserve">5.双方签署的合同谈判备忘录</w:t>
      </w:r>
      <w:r/>
    </w:p>
    <w:p>
      <w:pPr>
        <w:ind w:firstLine="560"/>
        <w:spacing w:line="500" w:lineRule="exact"/>
        <w:rPr>
          <w:rFonts w:ascii="宋体" w:hAnsi="宋体"/>
          <w:sz w:val="28"/>
          <w:szCs w:val="28"/>
        </w:rPr>
      </w:pPr>
      <w:r>
        <w:rPr>
          <w:rFonts w:hint="eastAsia" w:ascii="宋体" w:hAnsi="宋体"/>
          <w:sz w:val="28"/>
          <w:szCs w:val="28"/>
        </w:rPr>
        <w:t xml:space="preserve">6.与本合同有关的其他文件</w:t>
      </w:r>
      <w:r/>
    </w:p>
    <w:p>
      <w:pPr>
        <w:ind w:firstLine="420"/>
        <w:jc w:val="left"/>
        <w:spacing w:line="500" w:lineRule="exact"/>
        <w:rPr>
          <w:rFonts w:ascii="宋体" w:hAnsi="宋体"/>
          <w:b/>
          <w:bCs/>
          <w:sz w:val="28"/>
          <w:szCs w:val="28"/>
          <w:lang w:val="zh-CN"/>
        </w:rPr>
      </w:pPr>
      <w:r>
        <w:rPr>
          <w:rFonts w:hint="eastAsia" w:ascii="宋体" w:hAnsi="宋体"/>
          <w:b/>
          <w:bCs/>
          <w:sz w:val="28"/>
          <w:szCs w:val="28"/>
          <w:lang w:val="zh-CN"/>
        </w:rPr>
        <w:t xml:space="preserve">二十二</w:t>
      </w:r>
      <w:r>
        <w:rPr>
          <w:rFonts w:hint="eastAsia" w:ascii="宋体" w:hAnsi="宋体"/>
          <w:b/>
          <w:sz w:val="28"/>
          <w:szCs w:val="28"/>
        </w:rPr>
        <w:t xml:space="preserve">．</w:t>
      </w:r>
      <w:r>
        <w:rPr>
          <w:rFonts w:hint="eastAsia" w:ascii="宋体" w:hAnsi="宋体"/>
          <w:b/>
          <w:bCs/>
          <w:sz w:val="28"/>
          <w:szCs w:val="28"/>
          <w:lang w:val="zh-CN"/>
        </w:rPr>
        <w:t xml:space="preserve">合同的变更和终止</w:t>
      </w:r>
      <w:r/>
    </w:p>
    <w:p>
      <w:pPr>
        <w:ind w:firstLine="560"/>
        <w:spacing w:line="500" w:lineRule="exact"/>
        <w:rPr>
          <w:rFonts w:ascii="宋体" w:hAnsi="宋体"/>
          <w:sz w:val="28"/>
          <w:szCs w:val="28"/>
        </w:rPr>
      </w:pPr>
      <w:r>
        <w:rPr>
          <w:rFonts w:hint="eastAsia" w:ascii="宋体" w:hAnsi="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sz w:val="28"/>
          <w:szCs w:val="28"/>
        </w:rPr>
      </w:pPr>
      <w:r>
        <w:rPr>
          <w:rFonts w:hint="eastAsia" w:ascii="宋体" w:hAnsi="宋体"/>
          <w:sz w:val="28"/>
          <w:szCs w:val="28"/>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eastAsia="黑体"/>
          <w:sz w:val="52"/>
        </w:rPr>
      </w:pPr>
      <w:r>
        <w:rPr>
          <w:rFonts w:eastAsia="黑体"/>
          <w:sz w:val="52"/>
        </w:rPr>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甲方：（盖章）                乙方：（盖章）</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法定代表人                   </w:t>
      </w:r>
      <w:r>
        <w:rPr>
          <w:rFonts w:hint="eastAsia" w:ascii="宋体" w:hAnsi="宋体"/>
          <w:sz w:val="28"/>
          <w:szCs w:val="28"/>
          <w:lang w:val="en-US" w:eastAsia="zh-CN"/>
        </w:rPr>
        <w:t xml:space="preserve"> </w:t>
      </w:r>
      <w:r>
        <w:rPr>
          <w:rFonts w:hint="eastAsia" w:ascii="宋体" w:hAnsi="宋体"/>
          <w:sz w:val="28"/>
          <w:szCs w:val="28"/>
        </w:rPr>
        <w:t xml:space="preserve">法定代表人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（或授权代理人）：           （或授权代理人）：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单位地址：泰兴市文昌东路6号  单位地址：</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邮    编：</w:t>
      </w:r>
      <w:r>
        <w:rPr>
          <w:rFonts w:hint="eastAsia" w:ascii="宋体" w:hAnsi="宋体"/>
          <w:sz w:val="28"/>
          <w:szCs w:val="28"/>
          <w:lang w:val="en-US" w:eastAsia="zh-CN"/>
        </w:rPr>
        <w:t xml:space="preserve">225400</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邮    编：</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电    话：</w:t>
      </w:r>
      <w:r>
        <w:rPr>
          <w:rFonts w:hint="eastAsia" w:ascii="Arial" w:hAnsi="Arial" w:eastAsia="Arial"/>
          <w:sz w:val="28"/>
          <w:szCs w:val="28"/>
        </w:rPr>
        <w:t xml:space="preserve">0523-</w:t>
      </w:r>
      <w:r>
        <w:rPr>
          <w:rFonts w:hint="eastAsia" w:ascii="Arial" w:hAnsi="Arial" w:eastAsia="Arial"/>
          <w:sz w:val="28"/>
          <w:szCs w:val="28"/>
          <w:lang w:val="en-US" w:eastAsia="zh-CN"/>
        </w:rPr>
        <w:t xml:space="preserve">80721690</w:t>
      </w:r>
      <w:r>
        <w:rPr>
          <w:rFonts w:hint="eastAsia" w:ascii="宋体" w:hAnsi="宋体"/>
          <w:sz w:val="28"/>
          <w:szCs w:val="28"/>
        </w:rPr>
        <w:t xml:space="preserve">       电    话：</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传    真：87626742            传    真：</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开户银行：                    开户银行：</w:t>
      </w:r>
      <w:r/>
    </w:p>
    <w:p>
      <w:pPr>
        <w:keepLines w:val="0"/>
        <w:keepNext w:val="0"/>
        <w:pageBreakBefore w:val="0"/>
        <w:spacing w:line="460" w:lineRule="exact"/>
        <w:widowControl w:val="off"/>
        <w:tabs>
          <w:tab w:val="left" w:pos="4680" w:leader="none"/>
          <w:tab w:val="left" w:pos="4860" w:leader="none"/>
        </w:tabs>
        <w:rPr>
          <w:rFonts w:ascii="宋体" w:cs="宋体"/>
          <w:sz w:val="21"/>
          <w:szCs w:val="21"/>
        </w:rPr>
      </w:pPr>
      <w:r>
        <w:rPr>
          <w:rFonts w:hint="eastAsia" w:ascii="宋体" w:hAnsi="宋体"/>
          <w:sz w:val="28"/>
          <w:szCs w:val="28"/>
        </w:rPr>
        <w:t xml:space="preserve">帐    号：                    帐    号：</w:t>
      </w:r>
      <w:bookmarkEnd w:id="241"/>
      <w:r/>
      <w:bookmarkEnd w:id="242"/>
      <w:r/>
      <w:bookmarkEnd w:id="243"/>
      <w:r/>
      <w:bookmarkEnd w:id="244"/>
      <w:r/>
      <w:bookmarkEnd w:id="245"/>
      <w:r/>
      <w:bookmarkEnd w:id="246"/>
      <w:r/>
      <w:bookmarkEnd w:id="247"/>
      <w:r/>
      <w:bookmarkEnd w:id="248"/>
      <w:r/>
      <w:bookmarkEnd w:id="249"/>
      <w:r/>
      <w:r/>
    </w:p>
    <w:p>
      <w:pPr>
        <w:jc w:val="left"/>
        <w:widowControl/>
        <w:rPr>
          <w:rFonts w:ascii="黑体" w:hAnsi="黑体" w:eastAsia="黑体"/>
          <w:sz w:val="44"/>
          <w:szCs w:val="44"/>
        </w:rPr>
      </w:pPr>
      <w:r>
        <w:rPr>
          <w:rFonts w:ascii="黑体" w:hAnsi="黑体" w:eastAsia="黑体"/>
          <w:sz w:val="44"/>
          <w:szCs w:val="44"/>
        </w:rPr>
        <w:br w:type="page" w:clear="all"/>
      </w:r>
      <w:r/>
    </w:p>
    <w:p>
      <w:pPr>
        <w:jc w:val="center"/>
        <w:rPr>
          <w:rFonts w:ascii="黑体" w:hAnsi="黑体" w:eastAsia="黑体"/>
          <w:sz w:val="44"/>
          <w:szCs w:val="44"/>
        </w:rPr>
      </w:pPr>
      <w:r>
        <w:rPr>
          <w:rFonts w:ascii="黑体" w:hAnsi="黑体" w:eastAsia="黑体"/>
          <w:sz w:val="44"/>
          <w:szCs w:val="44"/>
        </w:rPr>
        <w:t xml:space="preserve">第五章</w:t>
      </w:r>
      <w:r>
        <w:rPr>
          <w:rFonts w:hint="eastAsia" w:ascii="黑体" w:hAnsi="黑体" w:eastAsia="黑体"/>
          <w:sz w:val="44"/>
          <w:szCs w:val="44"/>
        </w:rPr>
        <w:t xml:space="preserve"> 采购需求</w:t>
      </w:r>
      <w:r/>
    </w:p>
    <w:p>
      <w:pPr>
        <w:ind w:firstLine="560"/>
        <w:jc w:val="both"/>
        <w:spacing w:after="0" w:line="58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一</w:t>
      </w:r>
      <w:r>
        <w:rPr>
          <w:rFonts w:hint="eastAsia" w:ascii="宋体" w:hAnsi="宋体" w:eastAsia="宋体" w:cs="宋体"/>
          <w:sz w:val="28"/>
          <w:szCs w:val="28"/>
        </w:rPr>
        <w:t xml:space="preserve">、工作范围：对2026年度全市城建交通、省重大项目、“三比一提升”及单独选址</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临时用林</w:t>
      </w:r>
      <w:r>
        <w:rPr>
          <w:rFonts w:hint="eastAsia" w:ascii="宋体" w:hAnsi="宋体" w:eastAsia="宋体" w:cs="宋体"/>
          <w:sz w:val="28"/>
          <w:szCs w:val="28"/>
        </w:rPr>
        <w:t xml:space="preserve">等项目（不含相关部门单位自行委托的项目）</w:t>
      </w:r>
      <w:r>
        <w:rPr>
          <w:rFonts w:hint="eastAsia" w:ascii="宋体" w:hAnsi="宋体" w:cs="宋体"/>
          <w:sz w:val="28"/>
          <w:szCs w:val="28"/>
          <w:lang w:val="en-US" w:eastAsia="zh-CN"/>
        </w:rPr>
        <w:t xml:space="preserve">进行</w:t>
      </w:r>
      <w:r>
        <w:rPr>
          <w:rFonts w:hint="eastAsia" w:ascii="宋体" w:hAnsi="宋体" w:eastAsia="宋体" w:cs="宋体"/>
          <w:sz w:val="28"/>
          <w:szCs w:val="28"/>
        </w:rPr>
        <w:t xml:space="preserve">建设用地涉林报批服务。</w:t>
      </w:r>
      <w:r/>
    </w:p>
    <w:p>
      <w:pPr>
        <w:ind w:firstLine="560"/>
        <w:jc w:val="both"/>
        <w:spacing w:after="0" w:line="580" w:lineRule="exact"/>
        <w:rPr>
          <w:rFonts w:hint="eastAsia" w:ascii="宋体" w:hAnsi="宋体" w:eastAsia="宋体" w:cs="宋体"/>
          <w:sz w:val="28"/>
          <w:szCs w:val="28"/>
          <w:highlight w:val="yellow"/>
        </w:rPr>
      </w:pPr>
      <w:r>
        <w:rPr>
          <w:rFonts w:hint="eastAsia" w:ascii="宋体" w:hAnsi="宋体" w:eastAsia="宋体" w:cs="宋体"/>
          <w:sz w:val="28"/>
          <w:szCs w:val="28"/>
          <w:lang w:eastAsia="zh-CN"/>
        </w:rPr>
        <w:t xml:space="preserve">二</w:t>
      </w:r>
      <w:r>
        <w:rPr>
          <w:rFonts w:hint="eastAsia" w:ascii="宋体" w:hAnsi="宋体" w:eastAsia="宋体" w:cs="宋体"/>
          <w:sz w:val="28"/>
          <w:szCs w:val="28"/>
        </w:rPr>
        <w:t xml:space="preserve">、工作内容：①依据国土二调、三调、“三区三线”、国土空间规划等数据、配合甲方做好对接，共同确认项目涉林面积；②核实并检查用地红线内涉林面积、权属、森林类别、保护等级等信息，校核无合法权源数据的准确性，完成项目用地范围内森林资源的外业勘察，根据需要报批地块现场无人机航拍。③配合甲方拟写涉林项目的相关申请等基础表格材料，完成使用林地相关的公示及说明，并编制使用林地可行性报告。④核实涉林项目异地恢复地块的选址、编制森林植被异地恢复方案等。⑤项目涉及毁林情况</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协助甲方调取历史影像等资料，整理处罚调查相关资料收集整理。⑥其他方面：涉及评审项目，配合协调组织使用林地专家评审，确保报告通过专家论证。⑦依据国家和省、市相关规定测算森林植被费，并配合甲方指导用地方缴纳森林植被恢复费。⑧完成项目办理林地手续材料的组卷，逐级上报林业主管部门，取得审查意见、同意使用林地的批复⑨编制林木采伐作业设计书，取得林木采伐许可证，完成办理林木采伐手续</w:t>
      </w:r>
      <w:r>
        <w:rPr>
          <w:rFonts w:hint="eastAsia" w:ascii="宋体" w:hAnsi="宋体" w:cs="宋体"/>
          <w:sz w:val="28"/>
          <w:szCs w:val="28"/>
          <w:lang w:val="en-US" w:eastAsia="zh-CN"/>
        </w:rPr>
        <w:t xml:space="preserve">及</w:t>
      </w:r>
      <w:r>
        <w:rPr>
          <w:rFonts w:hint="eastAsia" w:ascii="宋体" w:hAnsi="宋体" w:eastAsia="宋体" w:cs="宋体"/>
          <w:sz w:val="28"/>
          <w:szCs w:val="28"/>
        </w:rPr>
        <w:t xml:space="preserve">相关资料整理。</w:t>
      </w:r>
      <w:r/>
    </w:p>
    <w:p>
      <w:pPr>
        <w:ind w:firstLine="560"/>
        <w:jc w:val="both"/>
        <w:spacing w:after="0" w:line="580" w:lineRule="exact"/>
        <w:rPr>
          <w:rFonts w:hint="default" w:ascii="宋体" w:hAnsi="宋体" w:eastAsia="宋体" w:cs="宋体"/>
          <w:sz w:val="28"/>
          <w:szCs w:val="28"/>
          <w:lang w:val="en-US" w:eastAsia="zh-CN"/>
        </w:rPr>
      </w:pPr>
      <w:r>
        <w:rPr>
          <w:rFonts w:hint="eastAsia" w:ascii="宋体" w:hAnsi="宋体" w:eastAsia="宋体" w:cs="宋体"/>
          <w:sz w:val="28"/>
          <w:szCs w:val="28"/>
          <w:lang w:eastAsia="zh-CN"/>
        </w:rPr>
        <w:t xml:space="preserve">三</w:t>
      </w:r>
      <w:r>
        <w:rPr>
          <w:rFonts w:hint="eastAsia" w:ascii="宋体" w:hAnsi="宋体" w:eastAsia="宋体" w:cs="宋体"/>
          <w:sz w:val="28"/>
          <w:szCs w:val="28"/>
        </w:rPr>
        <w:t xml:space="preserve">、工作要求：①质量符合国家和省、市相关规定，符合审查要求；进度乙方按甲方对具体项目、具体批次的时间要求，落实充足的人员，确保按时完成。②全程跟踪报批进度，及时汇报工作进展，及时协调处理省厅、</w:t>
      </w:r>
      <w:r>
        <w:rPr>
          <w:rFonts w:hint="eastAsia" w:ascii="宋体" w:hAnsi="宋体" w:cs="宋体"/>
          <w:sz w:val="28"/>
          <w:szCs w:val="28"/>
          <w:lang w:val="en-US" w:eastAsia="zh-CN"/>
        </w:rPr>
        <w:t xml:space="preserve">省林业局、</w:t>
      </w:r>
      <w:r>
        <w:rPr>
          <w:rFonts w:hint="eastAsia" w:ascii="宋体" w:hAnsi="宋体" w:eastAsia="宋体" w:cs="宋体"/>
          <w:sz w:val="28"/>
          <w:szCs w:val="28"/>
        </w:rPr>
        <w:t xml:space="preserve">泰州市局的反馈意见，及时按要求补正，直至取得用</w:t>
      </w:r>
      <w:r>
        <w:rPr>
          <w:rFonts w:hint="eastAsia" w:ascii="宋体" w:hAnsi="宋体" w:cs="宋体"/>
          <w:sz w:val="28"/>
          <w:szCs w:val="28"/>
          <w:lang w:val="en-US" w:eastAsia="zh-CN"/>
        </w:rPr>
        <w:t xml:space="preserve">林</w:t>
      </w:r>
      <w:r>
        <w:rPr>
          <w:rFonts w:hint="eastAsia" w:ascii="宋体" w:hAnsi="宋体" w:eastAsia="宋体" w:cs="宋体"/>
          <w:sz w:val="28"/>
          <w:szCs w:val="28"/>
        </w:rPr>
        <w:t xml:space="preserve">批复。③</w:t>
      </w:r>
      <w:r>
        <w:rPr>
          <w:rFonts w:hint="eastAsia" w:ascii="宋体" w:hAnsi="宋体" w:cs="宋体"/>
          <w:sz w:val="28"/>
          <w:szCs w:val="28"/>
          <w:lang w:val="en-US" w:eastAsia="zh-CN"/>
        </w:rPr>
        <w:t xml:space="preserve">配合甲方指导用林方在规定时间内按恢复林业生产条件和森林植被恢复方案完成恢复工作。④供应商需配备无人机设备，满足项目核心作业需求。</w:t>
      </w:r>
      <w:r/>
    </w:p>
    <w:p>
      <w:pPr>
        <w:pStyle w:val="655"/>
        <w:ind w:left="0" w:firstLine="560"/>
        <w:spacing w:after="0" w:line="58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四</w:t>
      </w:r>
      <w:r>
        <w:rPr>
          <w:rFonts w:hint="eastAsia" w:ascii="宋体" w:hAnsi="宋体" w:eastAsia="宋体" w:cs="宋体"/>
          <w:sz w:val="28"/>
          <w:szCs w:val="28"/>
        </w:rPr>
        <w:t xml:space="preserve">、按照省厅“双随机一公开”要求，配合做好迎检工作，事前按规范要求做好送检资料的整理完善，确保报件质量，事后按检查要求配合落实整改。</w:t>
      </w:r>
      <w:r/>
    </w:p>
    <w:p>
      <w:pPr>
        <w:ind w:firstLine="560"/>
        <w:jc w:val="both"/>
        <w:spacing w:after="0" w:line="580" w:lineRule="exact"/>
        <w:rPr>
          <w:rFonts w:hint="eastAsia" w:ascii="宋体" w:hAnsi="宋体" w:eastAsia="宋体" w:cs="宋体"/>
          <w:sz w:val="28"/>
          <w:szCs w:val="28"/>
          <w:highlight w:val="none"/>
        </w:rPr>
      </w:pPr>
      <w:r>
        <w:rPr>
          <w:rFonts w:hint="eastAsia" w:ascii="宋体" w:hAnsi="宋体" w:eastAsia="宋体" w:cs="宋体"/>
          <w:sz w:val="28"/>
          <w:szCs w:val="28"/>
          <w:lang w:eastAsia="zh-CN"/>
        </w:rPr>
        <w:t xml:space="preserve">五</w:t>
      </w:r>
      <w:r>
        <w:rPr>
          <w:rFonts w:hint="eastAsia" w:ascii="宋体" w:hAnsi="宋体" w:eastAsia="宋体" w:cs="宋体"/>
          <w:sz w:val="28"/>
          <w:szCs w:val="28"/>
        </w:rPr>
        <w:t xml:space="preserve">、服务期限：</w:t>
      </w:r>
      <w:r>
        <w:rPr>
          <w:rFonts w:hint="eastAsia" w:ascii="宋体" w:hAnsi="宋体" w:eastAsia="宋体" w:cs="宋体"/>
          <w:sz w:val="28"/>
          <w:szCs w:val="28"/>
          <w:highlight w:val="none"/>
        </w:rPr>
        <w:t xml:space="preserve">自签订合同之日起至202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年12月止期间组卷上报。</w:t>
      </w:r>
      <w:r/>
    </w:p>
    <w:p>
      <w:pPr>
        <w:pStyle w:val="655"/>
        <w:ind w:left="0" w:firstLine="560"/>
        <w:spacing w:after="0" w:line="58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六</w:t>
      </w:r>
      <w:r>
        <w:rPr>
          <w:rFonts w:hint="eastAsia" w:ascii="宋体" w:hAnsi="宋体" w:eastAsia="宋体" w:cs="宋体"/>
          <w:sz w:val="28"/>
          <w:szCs w:val="28"/>
        </w:rPr>
        <w:t xml:space="preserve">、提交成果：泰兴市</w:t>
      </w:r>
      <w:r>
        <w:rPr>
          <w:rFonts w:hint="eastAsia" w:ascii="宋体" w:hAnsi="宋体" w:eastAsia="宋体" w:cs="宋体"/>
          <w:sz w:val="28"/>
          <w:szCs w:val="28"/>
          <w:highlight w:val="none"/>
        </w:rPr>
        <w:t xml:space="preserve">202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rPr>
        <w:t xml:space="preserve">年度建设用地涉林报批项目所有资料、文本、图件、数据库以及相关附件等，原件1份(报省局项目原件2份），使用林地可行性报告纸质版3份、电子版1份，林木采伐更新作业设计书纸质、电子版1份。</w:t>
      </w:r>
      <w:r/>
    </w:p>
    <w:p>
      <w:pPr>
        <w:ind w:firstLine="560"/>
        <w:jc w:val="both"/>
        <w:spacing w:after="0" w:line="580" w:lineRule="exact"/>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、主要依据</w:t>
      </w:r>
      <w:r/>
    </w:p>
    <w:p>
      <w:pPr>
        <w:pStyle w:val="655"/>
        <w:ind w:left="0" w:firstLine="560"/>
        <w:spacing w:after="0" w:line="580" w:lineRule="exact"/>
        <w:rPr>
          <w:rFonts w:hint="eastAsia" w:ascii="宋体" w:hAnsi="宋体" w:eastAsia="宋体" w:cs="宋体"/>
          <w:sz w:val="28"/>
          <w:szCs w:val="28"/>
        </w:rPr>
      </w:pPr>
      <w:r>
        <w:rPr>
          <w:rFonts w:hint="eastAsia" w:ascii="宋体" w:hAnsi="宋体" w:eastAsia="宋体" w:cs="宋体"/>
          <w:sz w:val="28"/>
          <w:szCs w:val="28"/>
        </w:rPr>
        <w:t xml:space="preserve">《中华人民共和国森林法》、《中华人民共和国森林法实施条例》、《建设项目使涉林地审核审批管理办法》(国家林业局令第35号)、《建设项目使涉林地审核审批管理规范》《江苏省自然资源厅 江苏省林业局关于印发&lt;江苏省全面实行用地涉林合并审批工作方案（试行）的通知》（苏自然资发〔2024〕358号）等有关法律法规和政策要求。</w:t>
      </w:r>
      <w:r/>
    </w:p>
    <w:p>
      <w:pPr>
        <w:rPr>
          <w:rFonts w:ascii="黑体" w:hAnsi="黑体" w:eastAsia="黑体"/>
          <w:sz w:val="44"/>
          <w:szCs w:val="44"/>
        </w:rPr>
      </w:pPr>
      <w:r>
        <w:rPr>
          <w:rFonts w:ascii="黑体" w:hAnsi="黑体" w:eastAsia="黑体"/>
          <w:sz w:val="44"/>
          <w:szCs w:val="44"/>
        </w:rPr>
        <w:br w:type="page" w:clear="all"/>
      </w:r>
      <w:r/>
    </w:p>
    <w:p>
      <w:pPr>
        <w:jc w:val="center"/>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505" w:name="_Hlt26955039"/>
      <w:r/>
      <w:bookmarkEnd w:id="505"/>
      <w:r/>
      <w:bookmarkStart w:id="506" w:name="_Hlt26671244"/>
      <w:r/>
      <w:bookmarkEnd w:id="506"/>
      <w:r/>
      <w:bookmarkStart w:id="507" w:name="_Toc288030359"/>
      <w:r/>
      <w:bookmarkStart w:id="508" w:name="_Toc26554094"/>
      <w:r/>
      <w:bookmarkStart w:id="509" w:name="_Toc49090576"/>
      <w:r/>
      <w:bookmarkStart w:id="510" w:name="_Toc120614282"/>
      <w:r/>
      <w:bookmarkStart w:id="511" w:name="_Toc282446331"/>
      <w:r/>
      <w:r/>
    </w:p>
    <w:p>
      <w:pPr>
        <w:pStyle w:val="665"/>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512"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512"/>
      <w:r/>
      <w:r/>
    </w:p>
    <w:p>
      <w:pPr>
        <w:ind w:firstLine="560"/>
        <w:spacing w:line="500" w:lineRule="exact"/>
        <w:rPr>
          <w:rFonts w:ascii="宋体"/>
          <w:sz w:val="28"/>
          <w:szCs w:val="28"/>
        </w:rPr>
      </w:pPr>
      <w:r/>
      <w:bookmarkStart w:id="513"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513"/>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514" w:name="OLE_LINK8"/>
      <w:r>
        <w:rPr>
          <w:rFonts w:hint="eastAsia" w:ascii="宋体" w:hAnsi="宋体" w:cs="宋体"/>
          <w:sz w:val="28"/>
          <w:szCs w:val="28"/>
        </w:rPr>
        <w:t xml:space="preserve">投标报价明细表</w:t>
      </w:r>
      <w:bookmarkEnd w:id="514"/>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515"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507"/>
      <w:r/>
      <w:bookmarkEnd w:id="508"/>
      <w:r/>
      <w:bookmarkEnd w:id="509"/>
      <w:r/>
      <w:bookmarkEnd w:id="510"/>
      <w:r/>
      <w:bookmarkEnd w:id="511"/>
      <w:r/>
      <w:bookmarkEnd w:id="515"/>
      <w:r/>
      <w:bookmarkStart w:id="516" w:name="_Toc426469936"/>
      <w:r/>
      <w:bookmarkStart w:id="517" w:name="_Toc426469937"/>
      <w:r/>
      <w:bookmarkStart w:id="518" w:name="_Toc390246998"/>
      <w:r/>
      <w:bookmarkStart w:id="519" w:name="_Toc382811202"/>
      <w:r/>
      <w:bookmarkStart w:id="520" w:name="_Toc383698722"/>
      <w:r/>
      <w:bookmarkStart w:id="521" w:name="_Toc383626069"/>
      <w:r/>
      <w:bookmarkStart w:id="522" w:name="_Toc383624021"/>
      <w:r/>
      <w:bookmarkStart w:id="523" w:name="_Toc382812316"/>
      <w:r/>
      <w:bookmarkStart w:id="524" w:name="_Toc390098915"/>
      <w:r/>
      <w:bookmarkStart w:id="525" w:name="_Toc383587529"/>
      <w:r/>
      <w:bookmarkStart w:id="526" w:name="_Toc382811607"/>
      <w:r/>
      <w:bookmarkStart w:id="527" w:name="_Toc382814038"/>
      <w:r/>
      <w:bookmarkStart w:id="528" w:name="_Toc383679822"/>
      <w:r/>
      <w:bookmarkStart w:id="529" w:name="_Toc390099111"/>
      <w:r/>
      <w:bookmarkStart w:id="530" w:name="_Toc382813957"/>
      <w:r/>
      <w:bookmarkStart w:id="531" w:name="_Toc382812507"/>
      <w:r/>
      <w:bookmarkStart w:id="532" w:name="_Toc383623749"/>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516"/>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50"/>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517"/>
      <w:r/>
      <w:r/>
    </w:p>
    <w:p>
      <w:pPr>
        <w:rPr>
          <w:b/>
          <w:sz w:val="32"/>
          <w:szCs w:val="32"/>
        </w:rPr>
      </w:pPr>
      <w:r/>
      <w:bookmarkStart w:id="533" w:name="_Toc426469938"/>
      <w:r>
        <w:rPr>
          <w:rFonts w:hint="eastAsia"/>
        </w:rPr>
        <w:t xml:space="preserve">                </w:t>
      </w:r>
      <w:r/>
    </w:p>
    <w:p>
      <w:pPr>
        <w:jc w:val="center"/>
        <w:rPr>
          <w:b/>
          <w:sz w:val="32"/>
          <w:szCs w:val="32"/>
        </w:rPr>
      </w:pPr>
      <w:r>
        <w:rPr>
          <w:rFonts w:hint="eastAsia" w:ascii="宋体" w:hAnsi="宋体" w:cs="宋体"/>
        </w:rPr>
        <w:t xml:space="preserve">   </w:t>
      </w:r>
      <w:r>
        <w:rPr>
          <w:rFonts w:hint="eastAsia"/>
          <w:b/>
          <w:sz w:val="32"/>
          <w:szCs w:val="32"/>
        </w:rPr>
        <w:t xml:space="preserve">开标一览表</w:t>
      </w:r>
      <w:r/>
    </w:p>
    <w:p>
      <w:pPr>
        <w:rPr>
          <w:rFonts w:ascii="楷体" w:hAnsi="楷体" w:eastAsia="楷体"/>
          <w:sz w:val="28"/>
          <w:szCs w:val="28"/>
        </w:rPr>
      </w:pPr>
      <w:r>
        <w:rPr>
          <w:rFonts w:hint="eastAsia" w:ascii="宋体"/>
          <w:sz w:val="28"/>
          <w:szCs w:val="28"/>
        </w:rPr>
        <w:t xml:space="preserve">按“江苏省政府采购管理交易系统（苏采云）”中格式填写。</w:t>
      </w: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jc w:val="center"/>
        <w:rPr>
          <w:sz w:val="44"/>
          <w:szCs w:val="44"/>
        </w:rPr>
      </w:pPr>
      <w:r/>
      <w:bookmarkStart w:id="534"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534"/>
      <w:r/>
      <w:r/>
    </w:p>
    <w:p>
      <w:pPr>
        <w:rPr>
          <w:rFonts w:ascii="Arial" w:hAnsi="Arial"/>
          <w:sz w:val="28"/>
          <w:szCs w:val="28"/>
        </w:rPr>
      </w:pPr>
      <w:r>
        <w:rPr>
          <w:rFonts w:hint="eastAsia" w:ascii="Arial" w:hAnsi="Arial"/>
          <w:sz w:val="28"/>
          <w:szCs w:val="28"/>
        </w:rPr>
        <w:t xml:space="preserve">致：</w:t>
      </w:r>
      <w:r>
        <w:rPr>
          <w:rFonts w:ascii="Arial" w:hAnsi="Arial"/>
          <w:sz w:val="28"/>
          <w:szCs w:val="28"/>
          <w:u w:val="single"/>
        </w:rPr>
        <w:t xml:space="preserve">(</w:t>
      </w:r>
      <w:r>
        <w:rPr>
          <w:rFonts w:hint="eastAsia" w:ascii="Arial" w:hAnsi="Arial"/>
          <w:sz w:val="28"/>
          <w:szCs w:val="28"/>
          <w:u w:val="single"/>
        </w:rPr>
        <w:t xml:space="preserve">采购人名称</w:t>
      </w:r>
      <w:r>
        <w:rPr>
          <w:rFonts w:ascii="Arial" w:hAnsi="Arial"/>
          <w:sz w:val="28"/>
          <w:szCs w:val="28"/>
          <w:u w:val="single"/>
        </w:rPr>
        <w:t xml:space="preserve">)</w:t>
      </w:r>
      <w:r>
        <w:rPr>
          <w:rFonts w:hint="eastAsia" w:ascii="Arial" w:hAnsi="Arial"/>
          <w:sz w:val="28"/>
          <w:szCs w:val="28"/>
        </w:rPr>
        <w:t xml:space="preserve">：</w:t>
      </w:r>
      <w:r/>
    </w:p>
    <w:p>
      <w:pPr>
        <w:ind w:firstLine="560"/>
        <w:spacing w:line="520" w:lineRule="exact"/>
        <w:rPr>
          <w:rFonts w:ascii="Arial" w:hAnsi="Arial"/>
          <w:sz w:val="28"/>
          <w:szCs w:val="28"/>
        </w:rPr>
      </w:pPr>
      <w:r>
        <w:rPr>
          <w:rFonts w:hint="eastAsia" w:ascii="Arial" w:hAnsi="Arial"/>
          <w:sz w:val="28"/>
          <w:szCs w:val="28"/>
        </w:rPr>
        <w:t xml:space="preserve">根据</w:t>
      </w:r>
      <w:r>
        <w:rPr>
          <w:rFonts w:ascii="Arial" w:hAnsi="Arial"/>
          <w:sz w:val="28"/>
          <w:szCs w:val="28"/>
          <w:u w:val="single"/>
        </w:rPr>
        <w:t xml:space="preserve">   </w:t>
      </w:r>
      <w:r>
        <w:rPr>
          <w:rFonts w:hint="eastAsia" w:ascii="Arial" w:hAnsi="Arial"/>
          <w:sz w:val="28"/>
          <w:szCs w:val="28"/>
          <w:u w:val="single"/>
        </w:rPr>
        <w:t xml:space="preserve">（项目名称）</w:t>
      </w:r>
      <w:r>
        <w:rPr>
          <w:rFonts w:ascii="Arial" w:hAnsi="Arial"/>
          <w:sz w:val="28"/>
          <w:szCs w:val="28"/>
          <w:u w:val="single"/>
        </w:rPr>
        <w:t xml:space="preserve">    </w:t>
      </w:r>
      <w:r>
        <w:rPr>
          <w:rFonts w:hint="eastAsia" w:ascii="Arial" w:hAnsi="Arial"/>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Arial" w:hAnsi="Arial"/>
          <w:sz w:val="28"/>
          <w:szCs w:val="28"/>
        </w:rPr>
      </w:pPr>
      <w:r>
        <w:rPr>
          <w:rFonts w:ascii="Arial" w:hAnsi="Arial"/>
          <w:sz w:val="28"/>
          <w:szCs w:val="28"/>
        </w:rPr>
        <w:t xml:space="preserve">1</w:t>
      </w:r>
      <w:r>
        <w:rPr>
          <w:rFonts w:hint="eastAsia" w:ascii="Arial" w:hAnsi="Arial"/>
          <w:sz w:val="28"/>
          <w:szCs w:val="28"/>
        </w:rPr>
        <w:t xml:space="preserve">、投标价格为（大写）：</w:t>
      </w:r>
      <w:r>
        <w:rPr>
          <w:rFonts w:ascii="Arial" w:hAnsi="Arial"/>
          <w:sz w:val="28"/>
          <w:szCs w:val="28"/>
          <w:u w:val="single"/>
        </w:rPr>
        <w:t xml:space="preserve"> </w:t>
      </w:r>
      <w:r>
        <w:rPr>
          <w:rFonts w:hint="eastAsia" w:ascii="Arial" w:hAnsi="Arial"/>
          <w:sz w:val="28"/>
          <w:szCs w:val="28"/>
          <w:u w:val="single"/>
        </w:rPr>
        <w:t xml:space="preserve">                        </w:t>
      </w:r>
      <w:r>
        <w:rPr>
          <w:rFonts w:hint="eastAsia" w:ascii="Arial" w:hAnsi="Arial"/>
          <w:sz w:val="28"/>
          <w:szCs w:val="28"/>
        </w:rPr>
        <w:t xml:space="preserve">。如我方中标，投标总价即为合同价，在履行合同约定的责任和义务的过程中不再要求调增。</w:t>
      </w:r>
      <w:r/>
    </w:p>
    <w:p>
      <w:pPr>
        <w:ind w:firstLine="560"/>
        <w:spacing w:line="520" w:lineRule="exact"/>
        <w:rPr>
          <w:rFonts w:ascii="Arial" w:hAnsi="Arial"/>
          <w:sz w:val="28"/>
          <w:szCs w:val="28"/>
        </w:rPr>
      </w:pPr>
      <w:r>
        <w:rPr>
          <w:rFonts w:hint="eastAsia" w:ascii="Arial" w:hAnsi="Arial"/>
          <w:sz w:val="28"/>
          <w:szCs w:val="28"/>
        </w:rPr>
        <w:t xml:space="preserve">2、合同履行期限（工期）：</w:t>
      </w:r>
      <w:r>
        <w:rPr>
          <w:rFonts w:hint="eastAsia" w:ascii="Arial" w:hAnsi="Arial"/>
          <w:sz w:val="28"/>
          <w:szCs w:val="28"/>
          <w:u w:val="single"/>
        </w:rPr>
        <w:t xml:space="preserve">              </w:t>
      </w:r>
      <w:r>
        <w:rPr>
          <w:rFonts w:hint="eastAsia" w:ascii="Arial" w:hAnsi="Arial"/>
          <w:sz w:val="28"/>
          <w:szCs w:val="28"/>
        </w:rPr>
        <w:t xml:space="preserve">。</w:t>
      </w:r>
      <w:r>
        <w:rPr>
          <w:rFonts w:ascii="Arial" w:hAnsi="Arial"/>
          <w:sz w:val="28"/>
          <w:szCs w:val="28"/>
        </w:rPr>
        <w:t xml:space="preserve"> </w:t>
      </w:r>
      <w:r/>
    </w:p>
    <w:p>
      <w:pPr>
        <w:ind w:firstLine="560"/>
        <w:spacing w:line="520" w:lineRule="exact"/>
        <w:rPr>
          <w:rFonts w:ascii="Arial" w:hAnsi="Arial"/>
          <w:sz w:val="28"/>
          <w:szCs w:val="28"/>
        </w:rPr>
      </w:pPr>
      <w:r>
        <w:rPr>
          <w:rFonts w:hint="eastAsia" w:ascii="Arial" w:hAnsi="Arial"/>
          <w:sz w:val="28"/>
          <w:szCs w:val="28"/>
        </w:rPr>
        <w:t xml:space="preserve">3、投标有效期：</w:t>
      </w:r>
      <w:r>
        <w:rPr>
          <w:rFonts w:hint="eastAsia" w:ascii="Arial" w:hAnsi="Arial"/>
          <w:sz w:val="28"/>
          <w:szCs w:val="28"/>
          <w:u w:val="single"/>
        </w:rPr>
        <w:t xml:space="preserve"> 60天 </w:t>
      </w:r>
      <w:r>
        <w:rPr>
          <w:rFonts w:hint="eastAsia" w:ascii="Arial" w:hAnsi="Arial"/>
          <w:sz w:val="28"/>
          <w:szCs w:val="28"/>
        </w:rPr>
        <w:t xml:space="preserve">。在投标有效期内我方同意遵守本投标文件中的承诺且在此期限期满之前投标文件对我方具有法律约束力。</w:t>
      </w:r>
      <w:r/>
    </w:p>
    <w:p>
      <w:pPr>
        <w:ind w:firstLine="560"/>
        <w:spacing w:line="520" w:lineRule="exact"/>
        <w:rPr>
          <w:rFonts w:ascii="Arial" w:hAnsi="Arial"/>
          <w:sz w:val="28"/>
          <w:szCs w:val="28"/>
        </w:rPr>
      </w:pPr>
      <w:r>
        <w:rPr>
          <w:rFonts w:hint="eastAsia" w:ascii="Arial" w:hAnsi="Arial"/>
          <w:sz w:val="28"/>
          <w:szCs w:val="28"/>
        </w:rPr>
        <w:t xml:space="preserve">4、我方已详细审查全部招标文件。我们完全理解并同意放弃对这方面有不明及误解的权力。</w:t>
      </w:r>
      <w:r/>
    </w:p>
    <w:p>
      <w:pPr>
        <w:ind w:firstLine="560"/>
        <w:spacing w:line="520" w:lineRule="exact"/>
        <w:rPr>
          <w:rFonts w:ascii="Arial" w:hAnsi="Arial"/>
          <w:sz w:val="28"/>
          <w:szCs w:val="28"/>
        </w:rPr>
      </w:pPr>
      <w:r>
        <w:rPr>
          <w:rFonts w:hint="eastAsia" w:ascii="Arial" w:hAnsi="Arial"/>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50"/>
      </w:pPr>
      <w:r/>
      <w:r/>
    </w:p>
    <w:p>
      <w:pPr>
        <w:ind w:right="560" w:firstLine="3080"/>
        <w:spacing w:line="520" w:lineRule="exact"/>
        <w:rPr>
          <w:rFonts w:ascii="Arial" w:hAnsi="Arial"/>
          <w:sz w:val="28"/>
          <w:szCs w:val="28"/>
        </w:rPr>
      </w:pPr>
      <w:r>
        <w:rPr>
          <w:rFonts w:hint="eastAsia" w:ascii="Arial" w:hAnsi="Arial"/>
          <w:sz w:val="28"/>
          <w:szCs w:val="28"/>
        </w:rPr>
        <w:t xml:space="preserve">投标人名称(盖法人章)：</w:t>
      </w:r>
      <w:r/>
    </w:p>
    <w:p>
      <w:pPr>
        <w:ind w:firstLine="3080"/>
        <w:spacing w:line="520" w:lineRule="exact"/>
        <w:rPr>
          <w:rFonts w:ascii="Arial" w:hAnsi="Arial"/>
          <w:sz w:val="28"/>
          <w:szCs w:val="28"/>
        </w:rPr>
      </w:pPr>
      <w:r>
        <w:rPr>
          <w:rFonts w:hint="eastAsia" w:ascii="Arial" w:hAnsi="Arial"/>
          <w:sz w:val="28"/>
          <w:szCs w:val="28"/>
        </w:rPr>
        <w:t xml:space="preserve">法定代表人 (签字或签章)：</w:t>
      </w:r>
      <w:r/>
    </w:p>
    <w:p>
      <w:pPr>
        <w:ind w:firstLine="3080"/>
        <w:spacing w:line="520" w:lineRule="exact"/>
        <w:rPr>
          <w:rFonts w:ascii="Arial" w:hAnsi="Arial"/>
          <w:sz w:val="28"/>
          <w:szCs w:val="28"/>
        </w:rPr>
      </w:pPr>
      <w:r>
        <w:rPr>
          <w:rFonts w:hint="eastAsia" w:ascii="Arial" w:hAnsi="Arial"/>
          <w:sz w:val="28"/>
          <w:szCs w:val="28"/>
        </w:rPr>
        <w:t xml:space="preserve">日期：   年  月   日</w:t>
      </w:r>
      <w:r/>
    </w:p>
    <w:p>
      <w:pPr>
        <w:jc w:val="left"/>
        <w:spacing w:line="500" w:lineRule="exact"/>
        <w:widowControl/>
        <w:rPr>
          <w:rFonts w:ascii="楷体" w:hAnsi="楷体" w:eastAsia="楷体" w:cs="宋体"/>
          <w:b/>
          <w:sz w:val="32"/>
          <w:szCs w:val="32"/>
        </w:rPr>
      </w:pPr>
      <w:r>
        <w:rPr>
          <w:rFonts w:ascii="Arial" w:hAnsi="Arial"/>
          <w:sz w:val="28"/>
          <w:szCs w:val="28"/>
        </w:rPr>
        <w:br w:type="page" w:clear="all"/>
      </w:r>
      <w:r>
        <w:rPr>
          <w:rFonts w:hint="eastAsia" w:ascii="楷体" w:hAnsi="楷体" w:eastAsia="楷体" w:cs="宋体"/>
          <w:b/>
          <w:sz w:val="32"/>
          <w:szCs w:val="32"/>
        </w:rPr>
        <w:t xml:space="preserve">3.4供应商资格条件证明文件</w:t>
      </w:r>
      <w:r/>
    </w:p>
    <w:p>
      <w:pPr>
        <w:pStyle w:val="648"/>
        <w:spacing w:line="500" w:lineRule="exact"/>
        <w:rPr>
          <w:rFonts w:ascii="Arial" w:hAnsi="Arial" w:eastAsia="Arial" w:cs="宋体"/>
          <w:b/>
          <w:sz w:val="28"/>
          <w:szCs w:val="28"/>
        </w:rPr>
      </w:pPr>
      <w:r>
        <w:rPr>
          <w:rFonts w:hint="eastAsia" w:ascii="Arial" w:hAnsi="Arial" w:eastAsia="Arial" w:cs="宋体"/>
          <w:b/>
          <w:sz w:val="28"/>
          <w:szCs w:val="28"/>
        </w:rPr>
        <w:t xml:space="preserve">（1）供应商基本资格条件承诺函</w:t>
      </w:r>
      <w:r/>
    </w:p>
    <w:p>
      <w:pPr>
        <w:pStyle w:val="648"/>
        <w:jc w:val="center"/>
        <w:spacing w:line="480" w:lineRule="exact"/>
        <w:rPr>
          <w:rFonts w:ascii="Arial" w:hAnsi="Arial" w:eastAsia="Arial" w:cs="宋体"/>
          <w:b/>
          <w:sz w:val="28"/>
          <w:szCs w:val="28"/>
        </w:rPr>
      </w:pPr>
      <w:r>
        <w:rPr>
          <w:rFonts w:hint="eastAsia" w:ascii="Arial" w:hAnsi="Arial" w:eastAsia="Arial" w:cs="宋体"/>
          <w:b/>
          <w:sz w:val="28"/>
          <w:szCs w:val="28"/>
        </w:rPr>
        <w:t xml:space="preserve">供应商基本资格条件承诺函</w:t>
      </w:r>
      <w:r/>
    </w:p>
    <w:p>
      <w:pPr>
        <w:ind w:firstLine="560"/>
        <w:spacing w:line="480" w:lineRule="exact"/>
        <w:rPr>
          <w:rFonts w:ascii="Arial" w:hAnsi="Arial" w:eastAsia="Arial" w:cs="宋体"/>
          <w:sz w:val="28"/>
          <w:szCs w:val="28"/>
        </w:rPr>
      </w:pPr>
      <w:r>
        <w:rPr>
          <w:rFonts w:hint="eastAsia" w:ascii="Arial" w:hAnsi="Arial" w:eastAsia="Arial" w:cs="宋体"/>
          <w:sz w:val="28"/>
          <w:szCs w:val="28"/>
        </w:rPr>
        <w:t xml:space="preserve">一、按照《政府采购法》第二十二条规定的供应商基本资格条件，我公司郑重承诺如下：</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rPr>
        <w:t xml:space="preserve">1.我公司具有</w:t>
      </w:r>
      <w:r>
        <w:rPr>
          <w:rFonts w:hint="eastAsia" w:ascii="Arial" w:hAnsi="Arial" w:eastAsia="Arial"/>
          <w:sz w:val="28"/>
          <w:szCs w:val="28"/>
          <w:shd w:val="clear" w:color="auto" w:fill="ffffff"/>
        </w:rPr>
        <w:t xml:space="preserve">良好的商业信誉和健全的财务制度；</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2.我公司具有履行合同所必须的设备和专业技术能力；</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3.我公司具有依法缴纳税收和社会保障资金的良好记录；</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4.我公司参加政府采购活动前三年内，在经营活动中没有重大违法记录；</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Arial" w:hAnsi="Arial" w:eastAsia="Arial"/>
          <w:sz w:val="28"/>
          <w:szCs w:val="28"/>
        </w:rPr>
        <w:t xml:space="preserve">。</w:t>
      </w:r>
      <w:r/>
    </w:p>
    <w:p>
      <w:pPr>
        <w:pStyle w:val="648"/>
        <w:ind w:firstLine="560"/>
        <w:spacing w:line="480" w:lineRule="exact"/>
        <w:rPr>
          <w:rFonts w:ascii="Arial" w:hAnsi="Arial" w:eastAsia="Arial"/>
          <w:sz w:val="28"/>
          <w:szCs w:val="28"/>
        </w:rPr>
      </w:pPr>
      <w:r>
        <w:rPr>
          <w:rFonts w:hint="eastAsia" w:ascii="Arial" w:hAnsi="Arial" w:eastAsia="Arial"/>
          <w:sz w:val="28"/>
          <w:szCs w:val="28"/>
          <w:shd w:val="clear" w:color="auto" w:fill="ffffff"/>
        </w:rPr>
        <w:t xml:space="preserve">二、</w:t>
      </w:r>
      <w:r>
        <w:rPr>
          <w:rFonts w:hint="eastAsia" w:ascii="Arial" w:hAnsi="Arial" w:eastAsia="Arial"/>
          <w:sz w:val="28"/>
          <w:szCs w:val="28"/>
        </w:rPr>
        <w:t xml:space="preserve">我公司承诺：在本次投标过程中，我公司不存在本项目招标文件第二章第1.4.3条所列情形之一。</w:t>
      </w:r>
      <w:r/>
    </w:p>
    <w:p>
      <w:pPr>
        <w:ind w:firstLine="3920"/>
        <w:spacing w:before="156" w:line="480" w:lineRule="exact"/>
        <w:rPr>
          <w:rFonts w:ascii="Arial" w:hAnsi="Arial" w:eastAsia="Arial"/>
          <w:sz w:val="28"/>
          <w:szCs w:val="28"/>
        </w:rPr>
      </w:pPr>
      <w:r>
        <w:rPr>
          <w:rFonts w:ascii="Arial" w:hAnsi="Arial" w:eastAsia="Arial"/>
          <w:sz w:val="28"/>
          <w:szCs w:val="28"/>
        </w:rPr>
        <w:t xml:space="preserve">投标人名称(盖法人章)：</w:t>
      </w:r>
      <w:r/>
    </w:p>
    <w:p>
      <w:pPr>
        <w:ind w:firstLine="3920"/>
        <w:spacing w:before="156" w:line="480" w:lineRule="exact"/>
        <w:rPr>
          <w:rFonts w:ascii="Arial" w:hAnsi="Arial" w:eastAsia="Arial"/>
          <w:sz w:val="28"/>
          <w:szCs w:val="28"/>
          <w:u w:val="single"/>
        </w:rPr>
      </w:pPr>
      <w:r>
        <w:rPr>
          <w:rFonts w:hint="eastAsia" w:ascii="Arial" w:hAnsi="Arial" w:eastAsia="Arial"/>
          <w:sz w:val="28"/>
          <w:szCs w:val="28"/>
        </w:rPr>
        <w:t xml:space="preserve">法定代表人</w:t>
      </w:r>
      <w:r>
        <w:rPr>
          <w:rFonts w:ascii="Arial" w:hAnsi="Arial" w:eastAsia="Arial"/>
          <w:sz w:val="28"/>
          <w:szCs w:val="28"/>
        </w:rPr>
        <w:t xml:space="preserve"> (</w:t>
      </w:r>
      <w:r>
        <w:rPr>
          <w:rFonts w:hint="eastAsia" w:ascii="Arial" w:hAnsi="Arial" w:eastAsia="Arial"/>
          <w:sz w:val="28"/>
          <w:szCs w:val="28"/>
        </w:rPr>
        <w:t xml:space="preserve">签字或签章</w:t>
      </w:r>
      <w:r>
        <w:rPr>
          <w:rFonts w:ascii="Arial" w:hAnsi="Arial" w:eastAsia="Arial"/>
          <w:sz w:val="28"/>
          <w:szCs w:val="28"/>
        </w:rPr>
        <w:t xml:space="preserve">)</w:t>
      </w:r>
      <w:r>
        <w:rPr>
          <w:rFonts w:hint="eastAsia" w:ascii="Arial" w:hAnsi="Arial" w:eastAsia="Arial"/>
          <w:sz w:val="28"/>
          <w:szCs w:val="28"/>
        </w:rPr>
        <w:t xml:space="preserve">：</w:t>
      </w:r>
      <w:r/>
    </w:p>
    <w:p>
      <w:pPr>
        <w:ind w:firstLine="3920"/>
        <w:spacing w:before="156" w:line="480" w:lineRule="exact"/>
        <w:rPr>
          <w:rFonts w:ascii="Arial" w:hAnsi="Arial" w:eastAsia="Arial"/>
          <w:sz w:val="28"/>
          <w:szCs w:val="28"/>
        </w:rPr>
      </w:pPr>
      <w:r>
        <w:rPr>
          <w:rFonts w:hint="eastAsia" w:ascii="Arial" w:hAnsi="Arial" w:eastAsia="Arial"/>
          <w:sz w:val="28"/>
          <w:szCs w:val="28"/>
        </w:rPr>
        <w:t xml:space="preserve">日期：   年  月   日</w:t>
      </w:r>
      <w:r/>
    </w:p>
    <w:p>
      <w:pPr>
        <w:pStyle w:val="648"/>
        <w:spacing w:line="500" w:lineRule="exact"/>
        <w:rPr>
          <w:rFonts w:ascii="Arial" w:hAnsi="Arial" w:eastAsia="Arial"/>
          <w:b/>
          <w:sz w:val="28"/>
          <w:szCs w:val="28"/>
        </w:rPr>
      </w:pPr>
      <w:r>
        <w:rPr>
          <w:rFonts w:ascii="Arial" w:hAnsi="Arial" w:eastAsia="Arial"/>
          <w:b/>
          <w:sz w:val="28"/>
          <w:szCs w:val="28"/>
        </w:rPr>
      </w:r>
      <w:r/>
    </w:p>
    <w:p>
      <w:pPr>
        <w:pStyle w:val="648"/>
        <w:spacing w:line="500" w:lineRule="exact"/>
        <w:rPr>
          <w:rFonts w:ascii="Arial" w:hAnsi="Arial" w:eastAsia="Arial"/>
          <w:b/>
          <w:sz w:val="28"/>
          <w:szCs w:val="28"/>
        </w:rPr>
      </w:pPr>
      <w:r>
        <w:rPr>
          <w:rFonts w:hint="eastAsia" w:ascii="Arial" w:hAnsi="Arial" w:eastAsia="Arial"/>
          <w:b/>
          <w:sz w:val="28"/>
          <w:szCs w:val="28"/>
        </w:rPr>
        <w:t xml:space="preserve">（2）</w:t>
      </w:r>
      <w:r>
        <w:rPr>
          <w:rFonts w:hint="eastAsia" w:ascii="Arial" w:hAnsi="Arial" w:eastAsia="Arial" w:cs="宋体"/>
          <w:b/>
          <w:sz w:val="28"/>
          <w:szCs w:val="28"/>
        </w:rPr>
        <w:t xml:space="preserve">招标文件要求的其他资格条件及证明材料</w:t>
      </w:r>
      <w:r/>
    </w:p>
    <w:p>
      <w:pPr>
        <w:pStyle w:val="648"/>
        <w:ind w:firstLine="560"/>
        <w:spacing w:line="500" w:lineRule="exact"/>
        <w:rPr>
          <w:rFonts w:ascii="Arial" w:hAnsi="Arial" w:eastAsia="Arial" w:cs="宋体"/>
          <w:sz w:val="28"/>
          <w:szCs w:val="28"/>
        </w:rPr>
      </w:pPr>
      <w:r>
        <w:rPr>
          <w:rFonts w:hint="eastAsia" w:ascii="Arial" w:hAnsi="Arial" w:eastAsia="Arial" w:cs="宋体"/>
          <w:sz w:val="28"/>
          <w:szCs w:val="28"/>
        </w:rPr>
        <w:t xml:space="preserve">1.具有有效的营业执照（附证书的复印件）；</w:t>
      </w:r>
      <w:r/>
    </w:p>
    <w:p>
      <w:pPr>
        <w:pStyle w:val="648"/>
        <w:ind w:firstLine="560"/>
        <w:spacing w:line="500" w:lineRule="exact"/>
        <w:rPr>
          <w:rFonts w:ascii="Arial" w:hAnsi="Arial" w:eastAsia="Arial" w:cs="宋体"/>
          <w:sz w:val="28"/>
          <w:szCs w:val="28"/>
        </w:rPr>
      </w:pPr>
      <w:r>
        <w:rPr>
          <w:rFonts w:hint="eastAsia" w:ascii="Arial" w:hAnsi="Arial" w:eastAsia="Arial" w:cs="宋体"/>
          <w:sz w:val="28"/>
          <w:szCs w:val="28"/>
        </w:rPr>
        <w:t xml:space="preserve">2.中小企业声明函（参考格式附后）；</w:t>
      </w:r>
      <w:r/>
    </w:p>
    <w:p>
      <w:pPr>
        <w:ind w:firstLine="560"/>
        <w:jc w:val="left"/>
        <w:widowControl/>
        <w:rPr>
          <w:rFonts w:ascii="Arial" w:hAnsi="Arial" w:eastAsia="Arial" w:cs="宋体"/>
          <w:sz w:val="30"/>
          <w:szCs w:val="30"/>
        </w:rPr>
      </w:pPr>
      <w:r>
        <w:rPr>
          <w:rFonts w:hint="eastAsia" w:ascii="Arial" w:hAnsi="Arial" w:eastAsia="Arial" w:cs="宋体"/>
          <w:color w:val="auto"/>
          <w:sz w:val="28"/>
          <w:szCs w:val="28"/>
          <w:highlight w:val="none"/>
        </w:rPr>
        <w:t xml:space="preserve">3.特定资格要求：供应商应具备林业调查规划设计资质丙级及以上资质证书</w:t>
      </w:r>
      <w:r>
        <w:rPr>
          <w:rFonts w:ascii="Arial" w:hAnsi="Arial" w:eastAsia="Arial" w:cs="宋体"/>
          <w:b/>
          <w:color w:val="auto"/>
          <w:sz w:val="30"/>
          <w:szCs w:val="30"/>
          <w:highlight w:val="none"/>
        </w:rPr>
        <w:br w:type="page" w:clear="all"/>
      </w:r>
      <w:r>
        <w:rPr>
          <w:rFonts w:hint="eastAsia" w:ascii="Arial" w:hAnsi="Arial" w:eastAsia="Arial" w:cs="宋体"/>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本公司（联合体）郑重声明，根据《政府采购促进中小企业发展管理办法》（财库[2020]46号）的规定，本公司（联合体）参加</w:t>
      </w:r>
      <w:r>
        <w:rPr>
          <w:rFonts w:hint="eastAsia" w:ascii="宋体" w:hAnsi="宋体" w:eastAsia="宋体" w:cs="宋体"/>
          <w:sz w:val="28"/>
          <w:szCs w:val="28"/>
          <w:u w:val="single"/>
        </w:rPr>
        <w:t xml:space="preserve"> （单位名称）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1.</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 其他未列明行业 </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2.</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  （采购文件中明确的所属行业） </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（中型企业、小型企业、微型企业）       </w:t>
      </w:r>
      <w:r>
        <w:rPr>
          <w:rFonts w:hint="eastAsia" w:ascii="宋体" w:hAnsi="宋体" w:eastAsia="宋体" w:cs="宋体"/>
          <w:sz w:val="28"/>
          <w:szCs w:val="28"/>
        </w:rPr>
        <w:t xml:space="preserve">；</w:t>
      </w:r>
      <w:r/>
    </w:p>
    <w:p>
      <w:pPr>
        <w:pStyle w:val="710"/>
        <w:ind w:left="930" w:firstLine="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47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4760"/>
        <w:spacing w:line="440" w:lineRule="exact"/>
        <w:rPr>
          <w:rFonts w:hint="eastAsia" w:ascii="宋体" w:hAnsi="宋体" w:eastAsia="宋体" w:cs="宋体"/>
          <w:sz w:val="28"/>
          <w:szCs w:val="28"/>
        </w:rPr>
      </w:pPr>
      <w:r>
        <w:rPr>
          <w:rFonts w:hint="eastAsia" w:ascii="宋体" w:hAnsi="宋体" w:eastAsia="宋体" w:cs="宋体"/>
          <w:sz w:val="28"/>
          <w:szCs w:val="28"/>
        </w:rPr>
        <w:t xml:space="preserve">日  期：</w:t>
      </w:r>
      <w:r/>
    </w:p>
    <w:p>
      <w:pPr>
        <w:pStyle w:val="709"/>
        <w:spacing w:line="440" w:lineRule="exact"/>
        <w:rPr>
          <w:rFonts w:hint="eastAsia" w:ascii="宋体" w:hAnsi="宋体" w:eastAsia="宋体" w:cs="宋体"/>
          <w:sz w:val="28"/>
          <w:szCs w:val="28"/>
        </w:rPr>
      </w:pPr>
      <w:r>
        <w:rPr>
          <w:rFonts w:hint="eastAsia" w:ascii="宋体" w:hAnsi="宋体" w:eastAsia="宋体" w:cs="宋体"/>
          <w:sz w:val="28"/>
          <w:szCs w:val="28"/>
        </w:rPr>
        <w:t xml:space="preserve">注：1、从业人员、营业收入填报上一年度数据，无上一年度数据的新成立企业可不填报。</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2、供应商如不提供此声明函，价格将不做相应扣除。</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3.5采购需求响应表（格式自拟）</w:t>
      </w:r>
      <w:r/>
    </w:p>
    <w:p>
      <w:r/>
      <w:r/>
    </w:p>
    <w:sectPr>
      <w:footerReference w:type="default" r:id="rId8"/>
      <w:footnotePr/>
      <w:endnotePr/>
      <w:type w:val="nextPage"/>
      <w:pgSz w:w="11906" w:h="16838" w:orient="portrait"/>
      <w:pgMar w:top="1247" w:right="1735" w:bottom="1191"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黑体">
    <w:panose1 w:val="02010609060101010101"/>
  </w:font>
  <w:font w:name="仿宋_GB2312">
    <w:panose1 w:val="02010609060101010101"/>
  </w:font>
  <w:font w:name="Calibri">
    <w:panose1 w:val="020F0502020204030204"/>
  </w:font>
  <w:font w:name="Courier New">
    <w:panose1 w:val="02070309020205020404"/>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fldChar w:fldCharType="begin"/>
    </w:r>
    <w:r>
      <w:instrText xml:space="preserve">PAGE   \* MERGEFORMAT</w:instrText>
    </w:r>
    <w:r>
      <w:fldChar w:fldCharType="separate"/>
    </w:r>
    <w:r>
      <w:rPr>
        <w:lang w:val="zh-CN"/>
      </w:rPr>
      <w:t xml:space="preserve">16</w:t>
    </w:r>
    <w: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35"/>
    <w:uiPriority w:val="9"/>
    <w:rPr>
      <w:rFonts w:ascii="Arial" w:hAnsi="Arial" w:eastAsia="Arial" w:cs="Arial"/>
      <w:sz w:val="40"/>
      <w:szCs w:val="40"/>
    </w:rPr>
  </w:style>
  <w:style w:type="character" w:styleId="15">
    <w:name w:val="Heading 2 Char"/>
    <w:basedOn w:val="644"/>
    <w:link w:val="636"/>
    <w:uiPriority w:val="9"/>
    <w:rPr>
      <w:rFonts w:ascii="Arial" w:hAnsi="Arial" w:eastAsia="Arial" w:cs="Arial"/>
      <w:sz w:val="34"/>
    </w:rPr>
  </w:style>
  <w:style w:type="character" w:styleId="17">
    <w:name w:val="Heading 3 Char"/>
    <w:basedOn w:val="644"/>
    <w:link w:val="637"/>
    <w:uiPriority w:val="9"/>
    <w:rPr>
      <w:rFonts w:ascii="Arial" w:hAnsi="Arial" w:eastAsia="Arial" w:cs="Arial"/>
      <w:sz w:val="30"/>
      <w:szCs w:val="30"/>
    </w:rPr>
  </w:style>
  <w:style w:type="character" w:styleId="19">
    <w:name w:val="Heading 4 Char"/>
    <w:basedOn w:val="644"/>
    <w:link w:val="638"/>
    <w:uiPriority w:val="9"/>
    <w:rPr>
      <w:rFonts w:ascii="Arial" w:hAnsi="Arial" w:eastAsia="Arial" w:cs="Arial"/>
      <w:b/>
      <w:bCs/>
      <w:sz w:val="26"/>
      <w:szCs w:val="26"/>
    </w:rPr>
  </w:style>
  <w:style w:type="character" w:styleId="21">
    <w:name w:val="Heading 5 Char"/>
    <w:basedOn w:val="644"/>
    <w:link w:val="639"/>
    <w:uiPriority w:val="9"/>
    <w:rPr>
      <w:rFonts w:ascii="Arial" w:hAnsi="Arial" w:eastAsia="Arial" w:cs="Arial"/>
      <w:b/>
      <w:bCs/>
      <w:sz w:val="24"/>
      <w:szCs w:val="24"/>
    </w:rPr>
  </w:style>
  <w:style w:type="character" w:styleId="23">
    <w:name w:val="Heading 6 Char"/>
    <w:basedOn w:val="644"/>
    <w:link w:val="640"/>
    <w:uiPriority w:val="9"/>
    <w:rPr>
      <w:rFonts w:ascii="Arial" w:hAnsi="Arial" w:eastAsia="Arial" w:cs="Arial"/>
      <w:b/>
      <w:bCs/>
      <w:sz w:val="22"/>
      <w:szCs w:val="22"/>
    </w:rPr>
  </w:style>
  <w:style w:type="character" w:styleId="25">
    <w:name w:val="Heading 7 Char"/>
    <w:basedOn w:val="644"/>
    <w:link w:val="641"/>
    <w:uiPriority w:val="9"/>
    <w:rPr>
      <w:rFonts w:ascii="Arial" w:hAnsi="Arial" w:eastAsia="Arial" w:cs="Arial"/>
      <w:b/>
      <w:bCs/>
      <w:i/>
      <w:iCs/>
      <w:sz w:val="22"/>
      <w:szCs w:val="22"/>
    </w:rPr>
  </w:style>
  <w:style w:type="character" w:styleId="27">
    <w:name w:val="Heading 8 Char"/>
    <w:basedOn w:val="644"/>
    <w:link w:val="642"/>
    <w:uiPriority w:val="9"/>
    <w:rPr>
      <w:rFonts w:ascii="Arial" w:hAnsi="Arial" w:eastAsia="Arial" w:cs="Arial"/>
      <w:i/>
      <w:iCs/>
      <w:sz w:val="22"/>
      <w:szCs w:val="22"/>
    </w:rPr>
  </w:style>
  <w:style w:type="character" w:styleId="29">
    <w:name w:val="Heading 9 Char"/>
    <w:basedOn w:val="644"/>
    <w:link w:val="643"/>
    <w:uiPriority w:val="9"/>
    <w:rPr>
      <w:rFonts w:ascii="Arial" w:hAnsi="Arial" w:eastAsia="Arial" w:cs="Arial"/>
      <w:i/>
      <w:iCs/>
      <w:sz w:val="21"/>
      <w:szCs w:val="21"/>
    </w:rPr>
  </w:style>
  <w:style w:type="character" w:styleId="34">
    <w:name w:val="Title Char"/>
    <w:basedOn w:val="644"/>
    <w:link w:val="670"/>
    <w:uiPriority w:val="10"/>
    <w:rPr>
      <w:sz w:val="48"/>
      <w:szCs w:val="48"/>
    </w:rPr>
  </w:style>
  <w:style w:type="character" w:styleId="38">
    <w:name w:val="Quote Char"/>
    <w:link w:val="715"/>
    <w:uiPriority w:val="29"/>
    <w:rPr>
      <w:i/>
    </w:rPr>
  </w:style>
  <w:style w:type="character" w:styleId="40">
    <w:name w:val="Intense Quote Char"/>
    <w:link w:val="717"/>
    <w:uiPriority w:val="30"/>
    <w:rPr>
      <w:i/>
    </w:rPr>
  </w:style>
  <w:style w:type="character" w:styleId="42">
    <w:name w:val="Header Char"/>
    <w:basedOn w:val="644"/>
    <w:link w:val="659"/>
    <w:uiPriority w:val="99"/>
  </w:style>
  <w:style w:type="character" w:styleId="44">
    <w:name w:val="Footer Char"/>
    <w:basedOn w:val="644"/>
    <w:link w:val="658"/>
    <w:uiPriority w:val="99"/>
  </w:style>
  <w:style w:type="paragraph" w:styleId="189">
    <w:name w:val="TOC Heading"/>
    <w:uiPriority w:val="39"/>
    <w:unhideWhenUsed/>
  </w:style>
  <w:style w:type="paragraph" w:styleId="634" w:default="1">
    <w:name w:val="Normal"/>
    <w:uiPriority w:val="0"/>
    <w:qFormat/>
    <w:pPr>
      <w:jc w:val="both"/>
      <w:spacing w:after="0"/>
      <w:widowControl w:val="off"/>
    </w:pPr>
    <w:rPr>
      <w:rFonts w:ascii="Times New Roman" w:hAnsi="Times New Roman" w:eastAsia="宋体" w:cs="Times New Roman"/>
      <w:sz w:val="24"/>
      <w:szCs w:val="24"/>
      <w:lang w:val="en-US" w:eastAsia="zh-CN" w:bidi="ar-SA"/>
    </w:rPr>
  </w:style>
  <w:style w:type="paragraph" w:styleId="635">
    <w:name w:val="Heading 1"/>
    <w:basedOn w:val="634"/>
    <w:next w:val="634"/>
    <w:link w:val="686"/>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636">
    <w:name w:val="Heading 2"/>
    <w:basedOn w:val="634"/>
    <w:next w:val="634"/>
    <w:link w:val="687"/>
    <w:uiPriority w:val="0"/>
    <w:pPr>
      <w:keepLines/>
      <w:keepNext/>
      <w:spacing w:before="260" w:after="260" w:line="416" w:lineRule="auto"/>
      <w:outlineLvl w:val="1"/>
    </w:pPr>
    <w:rPr>
      <w:rFonts w:ascii="Calibri Light" w:hAnsi="Calibri Light" w:eastAsia="Arial" w:cs="Arial"/>
      <w:b/>
      <w:bCs/>
      <w:sz w:val="32"/>
      <w:szCs w:val="32"/>
    </w:rPr>
  </w:style>
  <w:style w:type="paragraph" w:styleId="637">
    <w:name w:val="Heading 3"/>
    <w:basedOn w:val="634"/>
    <w:next w:val="634"/>
    <w:link w:val="688"/>
    <w:uiPriority w:val="0"/>
    <w:qFormat/>
    <w:pPr>
      <w:keepLines/>
      <w:keepNext/>
      <w:spacing w:before="320" w:after="200"/>
      <w:outlineLvl w:val="2"/>
    </w:pPr>
    <w:rPr>
      <w:rFonts w:ascii="Arial" w:hAnsi="Arial" w:eastAsia="Arial" w:cs="Arial"/>
      <w:sz w:val="30"/>
      <w:szCs w:val="30"/>
    </w:rPr>
  </w:style>
  <w:style w:type="paragraph" w:styleId="638">
    <w:name w:val="Heading 4"/>
    <w:basedOn w:val="634"/>
    <w:next w:val="634"/>
    <w:link w:val="689"/>
    <w:uiPriority w:val="0"/>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90"/>
    <w:uiPriority w:val="0"/>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691"/>
    <w:uiPriority w:val="0"/>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92"/>
    <w:uiPriority w:val="0"/>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93"/>
    <w:uiPriority w:val="0"/>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694"/>
    <w:uiPriority w:val="0"/>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0"/>
    <w:qFormat/>
    <w:rPr>
      <w:rFonts w:ascii="Times New Roman" w:hAnsi="Times New Roman" w:eastAsia="宋体" w:cs="Times New Roman"/>
    </w:rPr>
  </w:style>
  <w:style w:type="table" w:styleId="645"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646">
    <w:name w:val="toc 7"/>
    <w:basedOn w:val="634"/>
    <w:next w:val="634"/>
    <w:uiPriority w:val="0"/>
    <w:qFormat/>
    <w:pPr>
      <w:ind w:left="1701" w:right="0" w:firstLine="0"/>
      <w:spacing w:after="57"/>
    </w:pPr>
    <w:rPr>
      <w:rFonts w:ascii="Times New Roman" w:hAnsi="Times New Roman" w:eastAsia="宋体" w:cs="Times New Roman"/>
    </w:rPr>
  </w:style>
  <w:style w:type="paragraph" w:styleId="647">
    <w:name w:val="Caption"/>
    <w:basedOn w:val="634"/>
    <w:next w:val="634"/>
    <w:uiPriority w:val="0"/>
    <w:qFormat/>
    <w:pPr>
      <w:spacing w:line="276" w:lineRule="auto"/>
    </w:pPr>
    <w:rPr>
      <w:rFonts w:ascii="Times New Roman" w:hAnsi="Times New Roman" w:eastAsia="宋体" w:cs="Times New Roman"/>
      <w:b/>
      <w:bCs/>
      <w:color w:val="5b9bd5"/>
      <w:sz w:val="18"/>
      <w:szCs w:val="18"/>
    </w:rPr>
  </w:style>
  <w:style w:type="paragraph" w:styleId="648">
    <w:name w:val="Document Map"/>
    <w:basedOn w:val="634"/>
    <w:link w:val="695"/>
    <w:uiPriority w:val="0"/>
    <w:qFormat/>
    <w:rPr>
      <w:rFonts w:ascii="宋体" w:hAnsi="Times New Roman" w:eastAsia="宋体" w:cs="Times New Roman"/>
      <w:sz w:val="18"/>
      <w:szCs w:val="18"/>
    </w:rPr>
  </w:style>
  <w:style w:type="paragraph" w:styleId="649">
    <w:name w:val="annotation text"/>
    <w:basedOn w:val="634"/>
    <w:link w:val="696"/>
    <w:uiPriority w:val="0"/>
    <w:qFormat/>
    <w:pPr>
      <w:jc w:val="left"/>
    </w:pPr>
    <w:rPr>
      <w:rFonts w:ascii="Times New Roman" w:hAnsi="Times New Roman" w:eastAsia="宋体" w:cs="Times New Roman"/>
    </w:rPr>
  </w:style>
  <w:style w:type="paragraph" w:styleId="650">
    <w:name w:val="Body Text"/>
    <w:basedOn w:val="634"/>
    <w:link w:val="697"/>
    <w:uiPriority w:val="0"/>
    <w:qFormat/>
    <w:pPr>
      <w:spacing w:after="120"/>
    </w:pPr>
    <w:rPr>
      <w:rFonts w:ascii="Times New Roman" w:hAnsi="Times New Roman" w:eastAsia="宋体" w:cs="Times New Roman"/>
    </w:rPr>
  </w:style>
  <w:style w:type="paragraph" w:styleId="651">
    <w:name w:val="toc 5"/>
    <w:basedOn w:val="634"/>
    <w:next w:val="634"/>
    <w:uiPriority w:val="0"/>
    <w:qFormat/>
    <w:pPr>
      <w:ind w:left="1134" w:right="0" w:firstLine="0"/>
      <w:spacing w:after="57"/>
    </w:pPr>
    <w:rPr>
      <w:rFonts w:ascii="Times New Roman" w:hAnsi="Times New Roman" w:eastAsia="宋体" w:cs="Times New Roman"/>
    </w:rPr>
  </w:style>
  <w:style w:type="paragraph" w:styleId="652">
    <w:name w:val="toc 3"/>
    <w:basedOn w:val="634"/>
    <w:next w:val="634"/>
    <w:uiPriority w:val="0"/>
    <w:qFormat/>
    <w:pPr>
      <w:ind w:left="567" w:right="0" w:firstLine="0"/>
      <w:spacing w:after="57"/>
    </w:pPr>
    <w:rPr>
      <w:rFonts w:ascii="Times New Roman" w:hAnsi="Times New Roman" w:eastAsia="宋体" w:cs="Times New Roman"/>
    </w:rPr>
  </w:style>
  <w:style w:type="paragraph" w:styleId="653">
    <w:name w:val="Plain Text"/>
    <w:basedOn w:val="634"/>
    <w:link w:val="698"/>
    <w:uiPriority w:val="0"/>
    <w:qFormat/>
    <w:rPr>
      <w:rFonts w:ascii="宋体" w:hAnsi="Courier New" w:eastAsia="宋体" w:cs="Times New Roman"/>
      <w:szCs w:val="20"/>
    </w:rPr>
  </w:style>
  <w:style w:type="paragraph" w:styleId="654">
    <w:name w:val="toc 8"/>
    <w:basedOn w:val="634"/>
    <w:next w:val="634"/>
    <w:uiPriority w:val="0"/>
    <w:qFormat/>
    <w:pPr>
      <w:ind w:left="1984" w:right="0" w:firstLine="0"/>
      <w:spacing w:after="57"/>
    </w:pPr>
    <w:rPr>
      <w:rFonts w:ascii="Times New Roman" w:hAnsi="Times New Roman" w:eastAsia="宋体" w:cs="Times New Roman"/>
    </w:rPr>
  </w:style>
  <w:style w:type="paragraph" w:styleId="655">
    <w:name w:val="Body Text Indent 2"/>
    <w:basedOn w:val="634"/>
    <w:uiPriority w:val="0"/>
    <w:qFormat/>
    <w:pPr>
      <w:ind w:left="420"/>
      <w:spacing w:after="120" w:line="480" w:lineRule="auto"/>
    </w:pPr>
    <w:rPr>
      <w:rFonts w:ascii="Times New Roman" w:hAnsi="Times New Roman" w:eastAsia="宋体" w:cs="Times New Roman"/>
    </w:rPr>
  </w:style>
  <w:style w:type="paragraph" w:styleId="656">
    <w:name w:val="endnote text"/>
    <w:basedOn w:val="634"/>
    <w:link w:val="699"/>
    <w:uiPriority w:val="0"/>
    <w:qFormat/>
    <w:pPr>
      <w:spacing w:after="0" w:line="240" w:lineRule="auto"/>
    </w:pPr>
    <w:rPr>
      <w:rFonts w:ascii="Times New Roman" w:hAnsi="Times New Roman" w:eastAsia="宋体" w:cs="Times New Roman"/>
      <w:sz w:val="20"/>
    </w:rPr>
  </w:style>
  <w:style w:type="paragraph" w:styleId="657">
    <w:name w:val="Balloon Text"/>
    <w:basedOn w:val="634"/>
    <w:link w:val="700"/>
    <w:uiPriority w:val="0"/>
    <w:qFormat/>
    <w:rPr>
      <w:rFonts w:ascii="Times New Roman" w:hAnsi="Times New Roman" w:eastAsia="宋体" w:cs="Times New Roman"/>
      <w:sz w:val="18"/>
      <w:szCs w:val="18"/>
    </w:rPr>
  </w:style>
  <w:style w:type="paragraph" w:styleId="658">
    <w:name w:val="Footer"/>
    <w:basedOn w:val="634"/>
    <w:link w:val="701"/>
    <w:uiPriority w:val="0"/>
    <w:qFormat/>
    <w:pPr>
      <w:jc w:val="left"/>
      <w:tabs>
        <w:tab w:val="center" w:pos="4153" w:leader="none"/>
        <w:tab w:val="right" w:pos="8306" w:leader="none"/>
      </w:tabs>
    </w:pPr>
    <w:rPr>
      <w:rFonts w:ascii="Calibri" w:hAnsi="Calibri" w:eastAsia="Arial" w:cs="Arial"/>
      <w:sz w:val="18"/>
      <w:szCs w:val="18"/>
    </w:rPr>
  </w:style>
  <w:style w:type="paragraph" w:styleId="659">
    <w:name w:val="Header"/>
    <w:basedOn w:val="634"/>
    <w:link w:val="702"/>
    <w:uiPriority w:val="0"/>
    <w:qFormat/>
    <w:pPr>
      <w:jc w:val="center"/>
      <w:tabs>
        <w:tab w:val="center" w:pos="4153" w:leader="none"/>
        <w:tab w:val="right" w:pos="8306" w:leader="none"/>
      </w:tabs>
    </w:pPr>
    <w:rPr>
      <w:rFonts w:ascii="Calibri" w:hAnsi="Calibri" w:eastAsia="Arial" w:cs="Arial"/>
      <w:sz w:val="18"/>
      <w:szCs w:val="18"/>
    </w:rPr>
  </w:style>
  <w:style w:type="paragraph" w:styleId="660">
    <w:name w:val="toc 1"/>
    <w:basedOn w:val="634"/>
    <w:next w:val="634"/>
    <w:uiPriority w:val="0"/>
    <w:qFormat/>
    <w:pPr>
      <w:ind w:left="0" w:right="0" w:firstLine="0"/>
      <w:spacing w:after="57"/>
    </w:pPr>
    <w:rPr>
      <w:rFonts w:ascii="Times New Roman" w:hAnsi="Times New Roman" w:eastAsia="宋体" w:cs="Times New Roman"/>
    </w:rPr>
  </w:style>
  <w:style w:type="paragraph" w:styleId="661">
    <w:name w:val="toc 4"/>
    <w:basedOn w:val="634"/>
    <w:next w:val="634"/>
    <w:uiPriority w:val="0"/>
    <w:qFormat/>
    <w:pPr>
      <w:ind w:left="850" w:right="0" w:firstLine="0"/>
      <w:spacing w:after="57"/>
    </w:pPr>
    <w:rPr>
      <w:rFonts w:ascii="Times New Roman" w:hAnsi="Times New Roman" w:eastAsia="宋体" w:cs="Times New Roman"/>
    </w:rPr>
  </w:style>
  <w:style w:type="paragraph" w:styleId="662">
    <w:name w:val="Subtitle"/>
    <w:basedOn w:val="634"/>
    <w:next w:val="634"/>
    <w:link w:val="703"/>
    <w:uiPriority w:val="0"/>
    <w:qFormat/>
    <w:pPr>
      <w:spacing w:before="200" w:after="200"/>
    </w:pPr>
    <w:rPr>
      <w:rFonts w:ascii="Times New Roman" w:hAnsi="Times New Roman" w:eastAsia="宋体" w:cs="Times New Roman"/>
      <w:sz w:val="24"/>
      <w:szCs w:val="24"/>
    </w:rPr>
  </w:style>
  <w:style w:type="paragraph" w:styleId="663">
    <w:name w:val="footnote text"/>
    <w:basedOn w:val="634"/>
    <w:link w:val="704"/>
    <w:uiPriority w:val="0"/>
    <w:qFormat/>
    <w:pPr>
      <w:spacing w:after="40" w:line="240" w:lineRule="auto"/>
    </w:pPr>
    <w:rPr>
      <w:rFonts w:ascii="Times New Roman" w:hAnsi="Times New Roman" w:eastAsia="宋体" w:cs="Times New Roman"/>
      <w:sz w:val="18"/>
    </w:rPr>
  </w:style>
  <w:style w:type="paragraph" w:styleId="664">
    <w:name w:val="toc 6"/>
    <w:basedOn w:val="634"/>
    <w:next w:val="634"/>
    <w:uiPriority w:val="0"/>
    <w:qFormat/>
    <w:pPr>
      <w:ind w:left="1417" w:right="0" w:firstLine="0"/>
      <w:spacing w:after="57"/>
    </w:pPr>
    <w:rPr>
      <w:rFonts w:ascii="Times New Roman" w:hAnsi="Times New Roman" w:eastAsia="宋体" w:cs="Times New Roman"/>
    </w:rPr>
  </w:style>
  <w:style w:type="paragraph" w:styleId="665">
    <w:name w:val="Body Text Indent 3"/>
    <w:basedOn w:val="634"/>
    <w:link w:val="705"/>
    <w:uiPriority w:val="0"/>
    <w:qFormat/>
    <w:pPr>
      <w:ind w:left="645" w:firstLine="645"/>
    </w:pPr>
    <w:rPr>
      <w:rFonts w:ascii="Arial" w:hAnsi="Arial" w:eastAsia="仿宋_GB2312" w:cs="Times New Roman"/>
      <w:color w:val="ffff00"/>
      <w:sz w:val="32"/>
      <w:szCs w:val="20"/>
    </w:rPr>
  </w:style>
  <w:style w:type="paragraph" w:styleId="666">
    <w:name w:val="table of figures"/>
    <w:basedOn w:val="634"/>
    <w:next w:val="634"/>
    <w:uiPriority w:val="0"/>
    <w:qFormat/>
    <w:pPr>
      <w:spacing w:after="0" w:afterAutospacing="0"/>
    </w:pPr>
    <w:rPr>
      <w:rFonts w:ascii="Times New Roman" w:hAnsi="Times New Roman" w:eastAsia="宋体" w:cs="Times New Roman"/>
    </w:rPr>
  </w:style>
  <w:style w:type="paragraph" w:styleId="667">
    <w:name w:val="toc 2"/>
    <w:basedOn w:val="634"/>
    <w:next w:val="634"/>
    <w:uiPriority w:val="0"/>
    <w:qFormat/>
    <w:pPr>
      <w:ind w:left="283" w:right="0" w:firstLine="0"/>
      <w:spacing w:after="57"/>
    </w:pPr>
    <w:rPr>
      <w:rFonts w:ascii="Times New Roman" w:hAnsi="Times New Roman" w:eastAsia="宋体" w:cs="Times New Roman"/>
    </w:rPr>
  </w:style>
  <w:style w:type="paragraph" w:styleId="668">
    <w:name w:val="toc 9"/>
    <w:basedOn w:val="634"/>
    <w:next w:val="634"/>
    <w:uiPriority w:val="0"/>
    <w:qFormat/>
    <w:pPr>
      <w:ind w:left="2268" w:right="0" w:firstLine="0"/>
      <w:spacing w:after="57"/>
    </w:pPr>
    <w:rPr>
      <w:rFonts w:ascii="Times New Roman" w:hAnsi="Times New Roman" w:eastAsia="宋体" w:cs="Times New Roman"/>
    </w:rPr>
  </w:style>
  <w:style w:type="paragraph" w:styleId="669">
    <w:name w:val="Normal (Web)"/>
    <w:basedOn w:val="634"/>
    <w:uiPriority w:val="0"/>
    <w:qFormat/>
    <w:pPr>
      <w:jc w:val="left"/>
      <w:spacing w:before="150" w:after="150" w:line="480" w:lineRule="auto"/>
    </w:pPr>
    <w:rPr>
      <w:rFonts w:hint="eastAsia" w:ascii="宋体" w:hAnsi="宋体" w:eastAsia="宋体" w:cs="Times New Roman"/>
      <w:color w:val="000000"/>
    </w:rPr>
  </w:style>
  <w:style w:type="paragraph" w:styleId="670">
    <w:name w:val="Title"/>
    <w:basedOn w:val="634"/>
    <w:next w:val="634"/>
    <w:link w:val="706"/>
    <w:uiPriority w:val="0"/>
    <w:qFormat/>
    <w:pPr>
      <w:contextualSpacing/>
      <w:spacing w:before="300" w:after="200"/>
    </w:pPr>
    <w:rPr>
      <w:rFonts w:ascii="Times New Roman" w:hAnsi="Times New Roman" w:eastAsia="宋体" w:cs="Times New Roman"/>
      <w:sz w:val="48"/>
      <w:szCs w:val="48"/>
    </w:rPr>
  </w:style>
  <w:style w:type="paragraph" w:styleId="671">
    <w:name w:val="annotation subject"/>
    <w:basedOn w:val="649"/>
    <w:next w:val="649"/>
    <w:link w:val="707"/>
    <w:uiPriority w:val="0"/>
    <w:qFormat/>
    <w:rPr>
      <w:rFonts w:ascii="Times New Roman" w:hAnsi="Times New Roman" w:eastAsia="宋体" w:cs="Times New Roman"/>
      <w:b/>
      <w:bCs/>
    </w:rPr>
  </w:style>
  <w:style w:type="table" w:styleId="672">
    <w:name w:val="Table Grid"/>
    <w:basedOn w:val="64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Medium Grid 3"/>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4">
    <w:name w:val="Medium Grid 3 Accent 1"/>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5">
    <w:name w:val="Medium Grid 3 Accent 2"/>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6">
    <w:name w:val="Medium Grid 3 Accent 3"/>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7">
    <w:name w:val="Medium Grid 3 Accent 4"/>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8">
    <w:name w:val="Medium Grid 3 Accent 5"/>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9">
    <w:name w:val="Medium Grid 3 Accent 6"/>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680">
    <w:name w:val="Strong"/>
    <w:basedOn w:val="644"/>
    <w:uiPriority w:val="0"/>
    <w:qFormat/>
    <w:rPr>
      <w:rFonts w:ascii="Times New Roman" w:hAnsi="Times New Roman" w:eastAsia="宋体" w:cs="Times New Roman"/>
      <w:b/>
    </w:rPr>
  </w:style>
  <w:style w:type="character" w:styleId="681">
    <w:name w:val="endnote reference"/>
    <w:basedOn w:val="644"/>
    <w:uiPriority w:val="0"/>
    <w:qFormat/>
    <w:rPr>
      <w:rFonts w:ascii="Times New Roman" w:hAnsi="Times New Roman" w:eastAsia="宋体" w:cs="Times New Roman"/>
      <w:vertAlign w:val="superscript"/>
    </w:rPr>
  </w:style>
  <w:style w:type="character" w:styleId="682">
    <w:name w:val="FollowedHyperlink"/>
    <w:basedOn w:val="644"/>
    <w:uiPriority w:val="0"/>
    <w:qFormat/>
    <w:rPr>
      <w:rFonts w:ascii="Times New Roman" w:hAnsi="Times New Roman" w:eastAsia="宋体" w:cs="Times New Roman"/>
      <w:color w:val="333333"/>
      <w:u w:val="none"/>
    </w:rPr>
  </w:style>
  <w:style w:type="character" w:styleId="683">
    <w:name w:val="Hyperlink"/>
    <w:uiPriority w:val="0"/>
    <w:qFormat/>
    <w:rPr>
      <w:rFonts w:ascii="Times New Roman" w:hAnsi="Times New Roman" w:eastAsia="宋体" w:cs="Times New Roman"/>
      <w:color w:val="336699"/>
      <w:sz w:val="18"/>
      <w:u w:val="none"/>
    </w:rPr>
  </w:style>
  <w:style w:type="character" w:styleId="684">
    <w:name w:val="annotation reference"/>
    <w:basedOn w:val="644"/>
    <w:uiPriority w:val="0"/>
    <w:qFormat/>
    <w:rPr>
      <w:rFonts w:ascii="Times New Roman" w:hAnsi="Times New Roman" w:eastAsia="宋体" w:cs="Times New Roman"/>
      <w:sz w:val="21"/>
      <w:szCs w:val="21"/>
    </w:rPr>
  </w:style>
  <w:style w:type="character" w:styleId="685">
    <w:name w:val="footnote reference"/>
    <w:basedOn w:val="644"/>
    <w:uiPriority w:val="0"/>
    <w:qFormat/>
    <w:rPr>
      <w:rFonts w:ascii="Times New Roman" w:hAnsi="Times New Roman" w:eastAsia="宋体" w:cs="Times New Roman"/>
      <w:vertAlign w:val="superscript"/>
    </w:rPr>
  </w:style>
  <w:style w:type="character" w:styleId="686" w:customStyle="1">
    <w:name w:val="标题 1 Char"/>
    <w:basedOn w:val="644"/>
    <w:link w:val="635"/>
    <w:uiPriority w:val="0"/>
    <w:qFormat/>
    <w:rPr>
      <w:rFonts w:ascii="Times New Roman" w:hAnsi="Times New Roman" w:eastAsia="宋体" w:cs="Times New Roman"/>
      <w:b/>
      <w:bCs/>
      <w:sz w:val="44"/>
      <w:szCs w:val="44"/>
    </w:rPr>
  </w:style>
  <w:style w:type="character" w:styleId="687" w:customStyle="1">
    <w:name w:val="标题 2 Char"/>
    <w:basedOn w:val="644"/>
    <w:link w:val="636"/>
    <w:uiPriority w:val="0"/>
    <w:qFormat/>
    <w:rPr>
      <w:rFonts w:ascii="Calibri Light" w:hAnsi="Calibri Light" w:eastAsia="Arial" w:cs="Arial"/>
      <w:b/>
      <w:bCs/>
      <w:sz w:val="32"/>
      <w:szCs w:val="32"/>
    </w:rPr>
  </w:style>
  <w:style w:type="character" w:styleId="688" w:customStyle="1">
    <w:name w:val="Heading 3 Char_a9b216b8-bf54-458b-b387-147c628c2a81"/>
    <w:basedOn w:val="644"/>
    <w:link w:val="637"/>
    <w:uiPriority w:val="0"/>
    <w:qFormat/>
    <w:rPr>
      <w:rFonts w:ascii="Arial" w:hAnsi="Arial" w:eastAsia="Arial" w:cs="Arial"/>
      <w:sz w:val="30"/>
      <w:szCs w:val="30"/>
    </w:rPr>
  </w:style>
  <w:style w:type="character" w:styleId="689" w:customStyle="1">
    <w:name w:val="Heading 4 Char_b59364e0-d5ed-4dc1-b6d7-cdc88059b588"/>
    <w:basedOn w:val="644"/>
    <w:link w:val="638"/>
    <w:uiPriority w:val="0"/>
    <w:qFormat/>
    <w:rPr>
      <w:rFonts w:ascii="Arial" w:hAnsi="Arial" w:eastAsia="Arial" w:cs="Arial"/>
      <w:b/>
      <w:bCs/>
      <w:sz w:val="26"/>
      <w:szCs w:val="26"/>
    </w:rPr>
  </w:style>
  <w:style w:type="character" w:styleId="690" w:customStyle="1">
    <w:name w:val="Heading 5 Char_65e270c1-d483-457d-8dc0-82819986679d"/>
    <w:basedOn w:val="644"/>
    <w:link w:val="639"/>
    <w:uiPriority w:val="0"/>
    <w:qFormat/>
    <w:rPr>
      <w:rFonts w:ascii="Arial" w:hAnsi="Arial" w:eastAsia="Arial" w:cs="Arial"/>
      <w:b/>
      <w:bCs/>
      <w:sz w:val="24"/>
      <w:szCs w:val="24"/>
    </w:rPr>
  </w:style>
  <w:style w:type="character" w:styleId="691" w:customStyle="1">
    <w:name w:val="Heading 6 Char_e1e3f1cb-737b-4f5c-88d0-5e1d123f61ac"/>
    <w:basedOn w:val="644"/>
    <w:link w:val="640"/>
    <w:uiPriority w:val="0"/>
    <w:qFormat/>
    <w:rPr>
      <w:rFonts w:ascii="Arial" w:hAnsi="Arial" w:eastAsia="Arial" w:cs="Arial"/>
      <w:b/>
      <w:bCs/>
      <w:sz w:val="22"/>
      <w:szCs w:val="22"/>
    </w:rPr>
  </w:style>
  <w:style w:type="character" w:styleId="692" w:customStyle="1">
    <w:name w:val="Heading 7 Char_50de44a3-68c1-4df3-b0b2-d34005039162"/>
    <w:basedOn w:val="644"/>
    <w:link w:val="641"/>
    <w:uiPriority w:val="0"/>
    <w:qFormat/>
    <w:rPr>
      <w:rFonts w:ascii="Arial" w:hAnsi="Arial" w:eastAsia="Arial" w:cs="Arial"/>
      <w:b/>
      <w:bCs/>
      <w:i/>
      <w:iCs/>
      <w:sz w:val="22"/>
      <w:szCs w:val="22"/>
    </w:rPr>
  </w:style>
  <w:style w:type="character" w:styleId="693" w:customStyle="1">
    <w:name w:val="Heading 8 Char_18f28759-a39c-4025-a777-591394453635"/>
    <w:basedOn w:val="644"/>
    <w:link w:val="642"/>
    <w:uiPriority w:val="0"/>
    <w:qFormat/>
    <w:rPr>
      <w:rFonts w:ascii="Arial" w:hAnsi="Arial" w:eastAsia="Arial" w:cs="Arial"/>
      <w:i/>
      <w:iCs/>
      <w:sz w:val="22"/>
      <w:szCs w:val="22"/>
    </w:rPr>
  </w:style>
  <w:style w:type="character" w:styleId="694" w:customStyle="1">
    <w:name w:val="Heading 9 Char_8bd0dcb3-8880-40de-b698-603d2e08a712"/>
    <w:basedOn w:val="644"/>
    <w:link w:val="643"/>
    <w:uiPriority w:val="0"/>
    <w:qFormat/>
    <w:rPr>
      <w:rFonts w:ascii="Arial" w:hAnsi="Arial" w:eastAsia="Arial" w:cs="Arial"/>
      <w:i/>
      <w:iCs/>
      <w:sz w:val="21"/>
      <w:szCs w:val="21"/>
    </w:rPr>
  </w:style>
  <w:style w:type="character" w:styleId="695" w:customStyle="1">
    <w:name w:val="文档结构图 Char"/>
    <w:basedOn w:val="644"/>
    <w:link w:val="648"/>
    <w:uiPriority w:val="0"/>
    <w:qFormat/>
    <w:rPr>
      <w:rFonts w:ascii="宋体" w:hAnsi="Times New Roman" w:eastAsia="宋体" w:cs="Times New Roman"/>
      <w:sz w:val="18"/>
      <w:szCs w:val="18"/>
    </w:rPr>
  </w:style>
  <w:style w:type="character" w:styleId="696" w:customStyle="1">
    <w:name w:val="批注文字 Char"/>
    <w:basedOn w:val="644"/>
    <w:link w:val="649"/>
    <w:uiPriority w:val="0"/>
    <w:qFormat/>
    <w:rPr>
      <w:rFonts w:ascii="Times New Roman" w:hAnsi="Times New Roman" w:eastAsia="宋体" w:cs="Times New Roman"/>
      <w:sz w:val="24"/>
      <w:szCs w:val="24"/>
    </w:rPr>
  </w:style>
  <w:style w:type="character" w:styleId="697" w:customStyle="1">
    <w:name w:val="正文文本 Char1"/>
    <w:basedOn w:val="644"/>
    <w:link w:val="650"/>
    <w:uiPriority w:val="0"/>
    <w:qFormat/>
    <w:rPr>
      <w:rFonts w:ascii="Times New Roman" w:hAnsi="Times New Roman" w:eastAsia="宋体" w:cs="Times New Roman"/>
      <w:sz w:val="24"/>
      <w:szCs w:val="24"/>
    </w:rPr>
  </w:style>
  <w:style w:type="character" w:styleId="698" w:customStyle="1">
    <w:name w:val="纯文本 Char"/>
    <w:basedOn w:val="644"/>
    <w:link w:val="653"/>
    <w:uiPriority w:val="0"/>
    <w:qFormat/>
    <w:rPr>
      <w:rFonts w:ascii="宋体" w:hAnsi="Courier New" w:eastAsia="宋体" w:cs="Times New Roman"/>
      <w:sz w:val="24"/>
      <w:szCs w:val="20"/>
    </w:rPr>
  </w:style>
  <w:style w:type="character" w:styleId="699" w:customStyle="1">
    <w:name w:val="Endnote Text Char"/>
    <w:link w:val="656"/>
    <w:uiPriority w:val="0"/>
    <w:qFormat/>
    <w:rPr>
      <w:rFonts w:ascii="Times New Roman" w:hAnsi="Times New Roman" w:eastAsia="宋体" w:cs="Times New Roman"/>
      <w:sz w:val="20"/>
    </w:rPr>
  </w:style>
  <w:style w:type="character" w:styleId="700" w:customStyle="1">
    <w:name w:val="批注框文本 Char"/>
    <w:basedOn w:val="644"/>
    <w:link w:val="657"/>
    <w:uiPriority w:val="0"/>
    <w:qFormat/>
    <w:rPr>
      <w:rFonts w:ascii="Times New Roman" w:hAnsi="Times New Roman" w:eastAsia="宋体" w:cs="Times New Roman"/>
      <w:sz w:val="18"/>
      <w:szCs w:val="18"/>
    </w:rPr>
  </w:style>
  <w:style w:type="character" w:styleId="701" w:customStyle="1">
    <w:name w:val="页脚 Char"/>
    <w:basedOn w:val="644"/>
    <w:link w:val="658"/>
    <w:uiPriority w:val="0"/>
    <w:qFormat/>
    <w:rPr>
      <w:rFonts w:ascii="Times New Roman" w:hAnsi="Times New Roman" w:eastAsia="宋体" w:cs="Times New Roman"/>
      <w:sz w:val="18"/>
      <w:szCs w:val="18"/>
    </w:rPr>
  </w:style>
  <w:style w:type="character" w:styleId="702" w:customStyle="1">
    <w:name w:val="页眉 Char"/>
    <w:basedOn w:val="644"/>
    <w:link w:val="659"/>
    <w:uiPriority w:val="0"/>
    <w:qFormat/>
    <w:rPr>
      <w:rFonts w:ascii="Times New Roman" w:hAnsi="Times New Roman" w:eastAsia="宋体" w:cs="Times New Roman"/>
      <w:sz w:val="18"/>
      <w:szCs w:val="18"/>
    </w:rPr>
  </w:style>
  <w:style w:type="character" w:styleId="703" w:customStyle="1">
    <w:name w:val="Subtitle Char"/>
    <w:basedOn w:val="644"/>
    <w:link w:val="662"/>
    <w:uiPriority w:val="0"/>
    <w:qFormat/>
    <w:rPr>
      <w:rFonts w:ascii="Times New Roman" w:hAnsi="Times New Roman" w:eastAsia="宋体" w:cs="Times New Roman"/>
      <w:sz w:val="24"/>
      <w:szCs w:val="24"/>
    </w:rPr>
  </w:style>
  <w:style w:type="character" w:styleId="704" w:customStyle="1">
    <w:name w:val="Footnote Text Char"/>
    <w:link w:val="663"/>
    <w:uiPriority w:val="0"/>
    <w:qFormat/>
    <w:rPr>
      <w:rFonts w:ascii="Times New Roman" w:hAnsi="Times New Roman" w:eastAsia="宋体" w:cs="Times New Roman"/>
      <w:sz w:val="18"/>
    </w:rPr>
  </w:style>
  <w:style w:type="character" w:styleId="705" w:customStyle="1">
    <w:name w:val="正文文本缩进 3 Char1"/>
    <w:basedOn w:val="644"/>
    <w:link w:val="665"/>
    <w:uiPriority w:val="0"/>
    <w:qFormat/>
    <w:rPr>
      <w:rFonts w:ascii="Arial" w:hAnsi="Arial" w:eastAsia="仿宋_GB2312" w:cs="Times New Roman"/>
      <w:color w:val="ffff00"/>
      <w:sz w:val="32"/>
      <w:szCs w:val="20"/>
    </w:rPr>
  </w:style>
  <w:style w:type="character" w:styleId="706" w:customStyle="1">
    <w:name w:val="Title Char_6f9859c7-e2e7-4fc0-9c1b-fce9cc378762"/>
    <w:basedOn w:val="644"/>
    <w:link w:val="670"/>
    <w:uiPriority w:val="0"/>
    <w:qFormat/>
    <w:rPr>
      <w:rFonts w:ascii="Times New Roman" w:hAnsi="Times New Roman" w:eastAsia="宋体" w:cs="Times New Roman"/>
      <w:sz w:val="48"/>
      <w:szCs w:val="48"/>
    </w:rPr>
  </w:style>
  <w:style w:type="character" w:styleId="707" w:customStyle="1">
    <w:name w:val="批注主题 Char"/>
    <w:basedOn w:val="696"/>
    <w:link w:val="671"/>
    <w:uiPriority w:val="0"/>
    <w:qFormat/>
    <w:rPr>
      <w:rFonts w:ascii="Times New Roman" w:hAnsi="Times New Roman" w:eastAsia="宋体" w:cs="Times New Roman"/>
      <w:b/>
      <w:bCs/>
      <w:sz w:val="24"/>
      <w:szCs w:val="24"/>
    </w:rPr>
  </w:style>
  <w:style w:type="paragraph" w:styleId="708"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09" w:customStyle="1">
    <w:name w:val="WPS Plain"/>
    <w:uiPriority w:val="0"/>
    <w:qFormat/>
    <w:rPr>
      <w:rFonts w:hint="default" w:ascii="Times New Roman" w:hAnsi="Times New Roman" w:eastAsia="宋体" w:cs="Times New Roman"/>
      <w:lang w:val="en-US" w:eastAsia="zh-CN" w:bidi="ar-SA"/>
    </w:rPr>
  </w:style>
  <w:style w:type="paragraph" w:styleId="710">
    <w:name w:val="List Paragraph"/>
    <w:basedOn w:val="634"/>
    <w:uiPriority w:val="0"/>
    <w:qFormat/>
    <w:pPr>
      <w:ind w:firstLine="420"/>
      <w:jc w:val="both"/>
      <w:spacing w:after="0"/>
      <w:widowControl w:val="off"/>
    </w:pPr>
    <w:rPr>
      <w:rFonts w:ascii="Times New Roman" w:hAnsi="Times New Roman" w:eastAsia="Times New Roman" w:cs="Times New Roman"/>
      <w:sz w:val="24"/>
      <w:szCs w:val="24"/>
      <w:lang w:val="en-US" w:eastAsia="zh-CN" w:bidi="ar-SA"/>
    </w:rPr>
  </w:style>
  <w:style w:type="character" w:styleId="711" w:customStyle="1">
    <w:name w:val="Heading 1 Char_2c6a9e7d-8fb6-41f0-ab97-3c4b3a529362"/>
    <w:basedOn w:val="644"/>
    <w:uiPriority w:val="0"/>
    <w:qFormat/>
    <w:rPr>
      <w:rFonts w:ascii="Arial" w:hAnsi="Arial" w:eastAsia="Arial" w:cs="Arial"/>
      <w:sz w:val="40"/>
      <w:szCs w:val="40"/>
    </w:rPr>
  </w:style>
  <w:style w:type="character" w:styleId="712" w:customStyle="1">
    <w:name w:val="Heading 2 Char_b3c263ad-609e-4410-9c59-906d5cae4b57"/>
    <w:basedOn w:val="644"/>
    <w:uiPriority w:val="0"/>
    <w:qFormat/>
    <w:rPr>
      <w:rFonts w:ascii="Arial" w:hAnsi="Arial" w:eastAsia="Arial" w:cs="Arial"/>
      <w:sz w:val="34"/>
    </w:rPr>
  </w:style>
  <w:style w:type="paragraph" w:styleId="713">
    <w:name w:val="No Spacing"/>
    <w:uiPriority w:val="0"/>
    <w:qFormat/>
    <w:pPr>
      <w:spacing w:before="0" w:after="0" w:line="240" w:lineRule="auto"/>
    </w:pPr>
    <w:rPr>
      <w:rFonts w:hint="default" w:ascii="Times New Roman" w:hAnsi="Times New Roman" w:eastAsia="宋体" w:cs="Times New Roman"/>
    </w:rPr>
  </w:style>
  <w:style w:type="character" w:styleId="714" w:customStyle="1">
    <w:name w:val="Quote Char_cc0a6e4d-c12d-445f-8a70-4f5f6c17c00b"/>
    <w:link w:val="715"/>
    <w:uiPriority w:val="0"/>
    <w:qFormat/>
    <w:rPr>
      <w:rFonts w:ascii="Times New Roman" w:hAnsi="Times New Roman" w:eastAsia="宋体" w:cs="Times New Roman"/>
      <w:i/>
    </w:rPr>
  </w:style>
  <w:style w:type="paragraph" w:styleId="715">
    <w:name w:val="Quote"/>
    <w:basedOn w:val="634"/>
    <w:next w:val="634"/>
    <w:link w:val="714"/>
    <w:uiPriority w:val="0"/>
    <w:qFormat/>
    <w:pPr>
      <w:ind w:left="720" w:right="720"/>
    </w:pPr>
    <w:rPr>
      <w:rFonts w:ascii="Times New Roman" w:hAnsi="Times New Roman" w:eastAsia="宋体" w:cs="Times New Roman"/>
      <w:i/>
    </w:rPr>
  </w:style>
  <w:style w:type="character" w:styleId="716" w:customStyle="1">
    <w:name w:val="Intense Quote Char_e574a8f7-d888-4b7d-8c4c-51d5ba965287"/>
    <w:link w:val="717"/>
    <w:uiPriority w:val="0"/>
    <w:qFormat/>
    <w:rPr>
      <w:rFonts w:ascii="Times New Roman" w:hAnsi="Times New Roman" w:eastAsia="宋体" w:cs="Times New Roman"/>
      <w:i/>
    </w:rPr>
  </w:style>
  <w:style w:type="paragraph" w:styleId="717">
    <w:name w:val="Intense Quote"/>
    <w:basedOn w:val="634"/>
    <w:next w:val="634"/>
    <w:link w:val="71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718" w:customStyle="1">
    <w:name w:val="Header Char_0d925369-ca41-4946-bcdb-d109485ae1d5"/>
    <w:basedOn w:val="644"/>
    <w:uiPriority w:val="0"/>
    <w:qFormat/>
    <w:rPr>
      <w:rFonts w:ascii="Times New Roman" w:hAnsi="Times New Roman" w:eastAsia="宋体" w:cs="Times New Roman"/>
    </w:rPr>
  </w:style>
  <w:style w:type="character" w:styleId="719" w:customStyle="1">
    <w:name w:val="Footer Char_6c612275-b2b1-46fc-b9b6-149cfbd3ef6d"/>
    <w:basedOn w:val="644"/>
    <w:uiPriority w:val="0"/>
    <w:qFormat/>
    <w:rPr>
      <w:rFonts w:ascii="Times New Roman" w:hAnsi="Times New Roman" w:eastAsia="宋体" w:cs="Times New Roman"/>
    </w:rPr>
  </w:style>
  <w:style w:type="character" w:styleId="720" w:customStyle="1">
    <w:name w:val="Caption Char"/>
    <w:uiPriority w:val="0"/>
    <w:qFormat/>
    <w:rPr>
      <w:rFonts w:ascii="Times New Roman" w:hAnsi="Times New Roman" w:eastAsia="宋体" w:cs="Times New Roman"/>
    </w:rPr>
  </w:style>
  <w:style w:type="table" w:styleId="721" w:customStyle="1">
    <w:name w:val="Table Grid Light"/>
    <w:basedOn w:val="645"/>
    <w:uiPriority w:val="0"/>
    <w:qFormat/>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22" w:customStyle="1">
    <w:name w:val="Plain Table 1"/>
    <w:basedOn w:val="645"/>
    <w:uiPriority w:val="0"/>
    <w:qFormat/>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style>
  <w:style w:type="table" w:styleId="723" w:customStyle="1">
    <w:name w:val="Plain Table 2"/>
    <w:basedOn w:val="645"/>
    <w:uiPriority w:val="0"/>
    <w:qFormat/>
    <w:pPr>
      <w:spacing w:after="0" w:line="240" w:lineRule="auto"/>
    </w:pPr>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724" w:customStyle="1">
    <w:name w:val="Plain Table 3"/>
    <w:basedOn w:val="645"/>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style>
  <w:style w:type="table" w:styleId="725" w:customStyle="1">
    <w:name w:val="Plain Table 4"/>
    <w:basedOn w:val="645"/>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style>
  <w:style w:type="table" w:styleId="726" w:customStyle="1">
    <w:name w:val="Plain Table 5"/>
    <w:basedOn w:val="645"/>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7" w:customStyle="1">
    <w:name w:val="Grid Table 1 Light"/>
    <w:basedOn w:val="645"/>
    <w:uiPriority w:val="0"/>
    <w:qFormat/>
    <w:pPr>
      <w:spacing w:after="0" w:line="240" w:lineRule="auto"/>
    </w:pPr>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Row">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style>
  <w:style w:type="table" w:styleId="728" w:customStyle="1">
    <w:name w:val="Grid Table 1 Light - Accent 1"/>
    <w:basedOn w:val="645"/>
    <w:uiPriority w:val="0"/>
    <w:qFormat/>
    <w:pPr>
      <w:spacing w:after="0" w:line="240" w:lineRule="auto"/>
    </w:pPr>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Row">
      <w:tcPr>
        <w:tcBorders>
          <w:top w:val="none" w:color="000000" w:sz="4" w:space="0"/>
          <w:left w:val="single" w:color="9FC4E6" w:sz="12" w:space="0"/>
          <w:bottom w:val="none" w:color="000000" w:sz="4" w:space="0"/>
          <w:right w:val="none" w:color="000000" w:sz="4" w:space="0"/>
          <w:insideH w:val="none" w:color="000000" w:sz="4" w:space="0"/>
          <w:insideV w:val="none" w:color="000000" w:sz="4" w:space="0"/>
        </w:tcBorders>
      </w:tcPr>
    </w:tblStylePr>
  </w:style>
  <w:style w:type="table" w:styleId="729" w:customStyle="1">
    <w:name w:val="Grid Table 1 Light - Accent 2"/>
    <w:basedOn w:val="645"/>
    <w:uiPriority w:val="0"/>
    <w:qFormat/>
    <w:pPr>
      <w:spacing w:after="0" w:line="240" w:lineRule="auto"/>
    </w:pPr>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Row">
      <w:tcPr>
        <w:tcBorders>
          <w:top w:val="none" w:color="000000" w:sz="4" w:space="0"/>
          <w:left w:val="single" w:color="F4B386" w:sz="12" w:space="0"/>
          <w:bottom w:val="none" w:color="000000" w:sz="4" w:space="0"/>
          <w:right w:val="none" w:color="000000" w:sz="4" w:space="0"/>
          <w:insideH w:val="none" w:color="000000" w:sz="4" w:space="0"/>
          <w:insideV w:val="none" w:color="000000" w:sz="4" w:space="0"/>
        </w:tcBorders>
      </w:tcPr>
    </w:tblStylePr>
  </w:style>
  <w:style w:type="table" w:styleId="730" w:customStyle="1">
    <w:name w:val="Grid Table 1 Light - Accent 3"/>
    <w:basedOn w:val="645"/>
    <w:uiPriority w:val="0"/>
    <w:qFormat/>
    <w:pPr>
      <w:spacing w:after="0" w:line="240" w:lineRule="auto"/>
    </w:pPr>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Row">
      <w:tcPr>
        <w:tcBorders>
          <w:top w:val="none" w:color="000000" w:sz="4" w:space="0"/>
          <w:left w:val="single" w:color="CACACA" w:sz="12" w:space="0"/>
          <w:bottom w:val="none" w:color="000000" w:sz="4" w:space="0"/>
          <w:right w:val="none" w:color="000000" w:sz="4" w:space="0"/>
          <w:insideH w:val="none" w:color="000000" w:sz="4" w:space="0"/>
          <w:insideV w:val="none" w:color="000000" w:sz="4" w:space="0"/>
        </w:tcBorders>
      </w:tcPr>
    </w:tblStylePr>
  </w:style>
  <w:style w:type="table" w:styleId="731" w:customStyle="1">
    <w:name w:val="Grid Table 1 Light - Accent 4"/>
    <w:basedOn w:val="645"/>
    <w:uiPriority w:val="0"/>
    <w:qFormat/>
    <w:pPr>
      <w:spacing w:after="0" w:line="240" w:lineRule="auto"/>
    </w:pPr>
    <w:rPr>
      <w:rFonts w:ascii="Times New Roman" w:hAnsi="Times New Roman" w:eastAsia="宋体" w:cs="Times New Roman"/>
    </w:r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Row">
      <w:tcPr>
        <w:tcBorders>
          <w:top w:val="none" w:color="000000" w:sz="4" w:space="0"/>
          <w:left w:val="single" w:color="FFDA69" w:sz="12" w:space="0"/>
          <w:bottom w:val="none" w:color="000000" w:sz="4" w:space="0"/>
          <w:right w:val="none" w:color="000000" w:sz="4" w:space="0"/>
          <w:insideH w:val="none" w:color="000000" w:sz="4" w:space="0"/>
          <w:insideV w:val="none" w:color="000000" w:sz="4" w:space="0"/>
        </w:tcBorders>
      </w:tcPr>
    </w:tblStylePr>
  </w:style>
  <w:style w:type="table" w:styleId="732" w:customStyle="1">
    <w:name w:val="Grid Table 1 Light - Accent 5"/>
    <w:basedOn w:val="645"/>
    <w:uiPriority w:val="0"/>
    <w:qFormat/>
    <w:pPr>
      <w:spacing w:after="0" w:line="240" w:lineRule="auto"/>
    </w:pPr>
    <w:rPr>
      <w:rFonts w:ascii="Times New Roman" w:hAnsi="Times New Roman" w:eastAsia="宋体" w:cs="Times New Roman"/>
    </w:r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Row">
      <w:tcPr>
        <w:tcBorders>
          <w:top w:val="none" w:color="000000" w:sz="4" w:space="0"/>
          <w:left w:val="single" w:color="91ACDC" w:sz="12" w:space="0"/>
          <w:bottom w:val="none" w:color="000000" w:sz="4" w:space="0"/>
          <w:right w:val="none" w:color="000000" w:sz="4" w:space="0"/>
          <w:insideH w:val="none" w:color="000000" w:sz="4" w:space="0"/>
          <w:insideV w:val="none" w:color="000000" w:sz="4" w:space="0"/>
        </w:tcBorders>
      </w:tcPr>
    </w:tblStylePr>
  </w:style>
  <w:style w:type="table" w:styleId="733" w:customStyle="1">
    <w:name w:val="Grid Table 1 Light - Accent 6"/>
    <w:basedOn w:val="645"/>
    <w:uiPriority w:val="0"/>
    <w:qFormat/>
    <w:pPr>
      <w:spacing w:after="0" w:line="240" w:lineRule="auto"/>
    </w:pPr>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Row">
      <w:tcPr>
        <w:tcBorders>
          <w:top w:val="none" w:color="000000" w:sz="4" w:space="0"/>
          <w:left w:val="single" w:color="AAD190" w:sz="12" w:space="0"/>
          <w:bottom w:val="none" w:color="000000" w:sz="4" w:space="0"/>
          <w:right w:val="none" w:color="000000" w:sz="4" w:space="0"/>
          <w:insideH w:val="none" w:color="000000" w:sz="4" w:space="0"/>
          <w:insideV w:val="none" w:color="000000" w:sz="4" w:space="0"/>
        </w:tcBorders>
      </w:tcPr>
    </w:tblStylePr>
  </w:style>
  <w:style w:type="table" w:styleId="734" w:customStyle="1">
    <w:name w:val="Grid Table 2"/>
    <w:basedOn w:val="645"/>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Row">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5" w:customStyle="1">
    <w:name w:val="Grid Table 2 - Accent 1"/>
    <w:basedOn w:val="645"/>
    <w:uiPriority w:val="0"/>
    <w:qFormat/>
    <w:pPr>
      <w:spacing w:after="0" w:line="240" w:lineRule="auto"/>
    </w:pPr>
    <w:rPr>
      <w:rFonts w:ascii="Times New Roman" w:hAnsi="Times New Roman" w:eastAsia="宋体" w:cs="Times New Roman"/>
    </w:rPr>
    <w:tblPr>
      <w:tblBorders>
        <w:bottom w:val="single" w:color="68A3D8" w:sz="4" w:space="0"/>
        <w:insideH w:val="single" w:color="68A3D8" w:sz="4" w:space="0"/>
        <w:insideV w:val="single" w:color="68A3D8" w:sz="4" w:space="0"/>
      </w:tblBorders>
    </w:tblPr>
    <w:tblStylePr w:type="band1Horz">
      <w:tcPr>
        <w:shd w:val="clear" w:color="ddeaf6" w:fill="ddeaf6"/>
      </w:tcPr>
    </w:tblStylePr>
    <w:tblStylePr w:type="band1Vert">
      <w:tcPr>
        <w:shd w:val="clear" w:color="ddeaf6" w:fill="ddeaf6"/>
      </w:tcPr>
    </w:tblStylePr>
    <w:tblStylePr w:type="firstRow">
      <w:tcPr>
        <w:shd w:val="clear" w:color="ffffff" w:fill="auto"/>
        <w:tcBorders>
          <w:top w:val="none" w:color="000000" w:sz="4" w:space="0"/>
          <w:left w:val="single" w:color="68A3D8"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6" w:customStyle="1">
    <w:name w:val="Grid Table 2 - Accent 2"/>
    <w:basedOn w:val="645"/>
    <w:uiPriority w:val="0"/>
    <w:qFormat/>
    <w:pPr>
      <w:spacing w:after="0" w:line="240" w:lineRule="auto"/>
    </w:pPr>
    <w:rPr>
      <w:rFonts w:ascii="Times New Roman" w:hAnsi="Times New Roman" w:eastAsia="宋体" w:cs="Times New Roman"/>
    </w:rPr>
    <w:tblPr>
      <w:tblBorders>
        <w:bottom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Row">
      <w:tcPr>
        <w:shd w:val="clear" w:color="ffffff" w:fill="auto"/>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7" w:customStyle="1">
    <w:name w:val="Grid Table 2 - Accent 3"/>
    <w:basedOn w:val="645"/>
    <w:uiPriority w:val="0"/>
    <w:qFormat/>
    <w:pPr>
      <w:spacing w:after="0" w:line="240" w:lineRule="auto"/>
    </w:pPr>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Row">
      <w:tcPr>
        <w:shd w:val="clear" w:color="ffffff" w:fill="auto"/>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8" w:customStyle="1">
    <w:name w:val="Grid Table 2 - Accent 4"/>
    <w:basedOn w:val="645"/>
    <w:uiPriority w:val="0"/>
    <w:qFormat/>
    <w:pPr>
      <w:spacing w:after="0" w:line="240" w:lineRule="auto"/>
    </w:pPr>
    <w:rPr>
      <w:rFonts w:ascii="Times New Roman" w:hAnsi="Times New Roman" w:eastAsia="宋体" w:cs="Times New Roman"/>
    </w:rPr>
    <w:tblPr>
      <w:tblBorders>
        <w:bottom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Row">
      <w:tcPr>
        <w:shd w:val="clear" w:color="ffffff" w:fill="auto"/>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9" w:customStyle="1">
    <w:name w:val="Grid Table 2 - Accent 5"/>
    <w:basedOn w:val="645"/>
    <w:uiPriority w:val="0"/>
    <w:qFormat/>
    <w:pPr>
      <w:spacing w:after="0" w:line="240" w:lineRule="auto"/>
    </w:pPr>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Row">
      <w:tcPr>
        <w:shd w:val="clear" w:color="ffffff" w:fill="auto"/>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0" w:customStyle="1">
    <w:name w:val="Grid Table 2 - Accent 6"/>
    <w:basedOn w:val="645"/>
    <w:uiPriority w:val="0"/>
    <w:qFormat/>
    <w:pPr>
      <w:spacing w:after="0" w:line="240" w:lineRule="auto"/>
    </w:pPr>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Row">
      <w:tcPr>
        <w:shd w:val="clear" w:color="ffffff" w:fill="auto"/>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1" w:customStyle="1">
    <w:name w:val="Grid Table 3"/>
    <w:basedOn w:val="645"/>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2" w:customStyle="1">
    <w:name w:val="Grid Table 3 - Accent 1"/>
    <w:basedOn w:val="645"/>
    <w:uiPriority w:val="0"/>
    <w:qFormat/>
    <w:pPr>
      <w:spacing w:after="0" w:line="240" w:lineRule="auto"/>
    </w:pPr>
    <w:rPr>
      <w:rFonts w:ascii="Times New Roman" w:hAnsi="Times New Roman" w:eastAsia="宋体" w:cs="Times New Roman"/>
    </w:rPr>
    <w:tblPr>
      <w:tblBorders>
        <w:bottom w:val="single" w:color="68A3D8" w:sz="4" w:space="0"/>
        <w:insideH w:val="single" w:color="68A3D8" w:sz="4" w:space="0"/>
        <w:insideV w:val="single" w:color="68A3D8" w:sz="4" w:space="0"/>
      </w:tblBorders>
    </w:tblPr>
    <w:tblStylePr w:type="band1Horz">
      <w:tcPr>
        <w:shd w:val="clear" w:color="ddeaf6" w:fill="ddeaf6"/>
      </w:tcPr>
    </w:tblStylePr>
    <w:tblStylePr w:type="band1Vert">
      <w:tcPr>
        <w:shd w:val="clear" w:color="ddeaf6" w:fill="ddeaf6"/>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Grid Table 3 - Accent 2"/>
    <w:basedOn w:val="645"/>
    <w:uiPriority w:val="0"/>
    <w:qFormat/>
    <w:pPr>
      <w:spacing w:after="0" w:line="240" w:lineRule="auto"/>
    </w:pPr>
    <w:rPr>
      <w:rFonts w:ascii="Times New Roman" w:hAnsi="Times New Roman" w:eastAsia="宋体" w:cs="Times New Roman"/>
    </w:rPr>
    <w:tblPr>
      <w:tblBorders>
        <w:bottom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4" w:customStyle="1">
    <w:name w:val="Grid Table 3 - Accent 3"/>
    <w:basedOn w:val="645"/>
    <w:uiPriority w:val="0"/>
    <w:qFormat/>
    <w:pPr>
      <w:spacing w:after="0" w:line="240" w:lineRule="auto"/>
    </w:pPr>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Grid Table 3 - Accent 4"/>
    <w:basedOn w:val="645"/>
    <w:uiPriority w:val="0"/>
    <w:qFormat/>
    <w:pPr>
      <w:spacing w:after="0" w:line="240" w:lineRule="auto"/>
    </w:pPr>
    <w:rPr>
      <w:rFonts w:ascii="Times New Roman" w:hAnsi="Times New Roman" w:eastAsia="宋体" w:cs="Times New Roman"/>
    </w:rPr>
    <w:tblPr>
      <w:tblBorders>
        <w:bottom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Grid Table 3 - Accent 5"/>
    <w:basedOn w:val="645"/>
    <w:uiPriority w:val="0"/>
    <w:qFormat/>
    <w:pPr>
      <w:spacing w:after="0" w:line="240" w:lineRule="auto"/>
    </w:pPr>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Grid Table 3 - Accent 6"/>
    <w:basedOn w:val="645"/>
    <w:uiPriority w:val="0"/>
    <w:qFormat/>
    <w:pPr>
      <w:spacing w:after="0" w:line="240" w:lineRule="auto"/>
    </w:pPr>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Grid Table 4"/>
    <w:basedOn w:val="645"/>
    <w:uiPriority w:val="0"/>
    <w:qFormat/>
    <w:pPr>
      <w:spacing w:after="0" w:line="240" w:lineRule="auto"/>
    </w:pPr>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tcPr>
        <w:shd w:val="clear" w:color="cacaca" w:fill="cacaca"/>
      </w:tcPr>
    </w:tblStylePr>
    <w:tblStylePr w:type="band1Vert">
      <w:tcPr>
        <w:shd w:val="clear" w:color="cacaca" w:fill="cacaca"/>
      </w:tcPr>
    </w:tblStylePr>
    <w:tblStylePr w:type="firstRow">
      <w:tcPr>
        <w:shd w:val="clear" w:color="000000" w:fill="000000"/>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9" w:customStyle="1">
    <w:name w:val="Grid Table 4 - Accent 1"/>
    <w:basedOn w:val="645"/>
    <w:uiPriority w:val="0"/>
    <w:qFormat/>
    <w:pPr>
      <w:spacing w:after="0" w:line="240" w:lineRule="auto"/>
    </w:pPr>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tcPr>
        <w:shd w:val="clear" w:color="deebf6" w:fill="deebf6"/>
      </w:tcPr>
    </w:tblStylePr>
    <w:tblStylePr w:type="band1Vert">
      <w:tcPr>
        <w:shd w:val="clear" w:color="deebf6" w:fill="deebf6"/>
      </w:tcPr>
    </w:tblStylePr>
    <w:tblStylePr w:type="firstRow">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Row">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Grid Table 4 - Accent 2"/>
    <w:basedOn w:val="645"/>
    <w:uiPriority w:val="0"/>
    <w:qFormat/>
    <w:pPr>
      <w:spacing w:after="0" w:line="240" w:lineRule="auto"/>
    </w:pPr>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tcPr>
        <w:shd w:val="clear" w:color="fbe5d6" w:fill="fbe5d6"/>
      </w:tcPr>
    </w:tblStylePr>
    <w:tblStylePr w:type="band1Vert">
      <w:tcPr>
        <w:shd w:val="clear" w:color="fbe5d6" w:fill="fbe5d6"/>
      </w:tcPr>
    </w:tblStylePr>
    <w:tblStylePr w:type="firstRow">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Row">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Grid Table 4 - Accent 3"/>
    <w:basedOn w:val="645"/>
    <w:uiPriority w:val="0"/>
    <w:qFormat/>
    <w:pPr>
      <w:spacing w:after="0" w:line="240" w:lineRule="auto"/>
    </w:pPr>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tcPr>
        <w:shd w:val="clear" w:color="ececec" w:fill="ececec"/>
      </w:tcPr>
    </w:tblStylePr>
    <w:tblStylePr w:type="band1Vert">
      <w:tcPr>
        <w:shd w:val="clear" w:color="ececec" w:fill="ececec"/>
      </w:tcPr>
    </w:tblStylePr>
    <w:tblStylePr w:type="firstRow">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Row">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Grid Table 4 - Accent 4"/>
    <w:basedOn w:val="645"/>
    <w:uiPriority w:val="0"/>
    <w:qFormat/>
    <w:pPr>
      <w:spacing w:after="0" w:line="240" w:lineRule="auto"/>
    </w:pPr>
    <w:rPr>
      <w:rFonts w:ascii="Times New Roman" w:hAnsi="Times New Roman" w:eastAsia="宋体" w:cs="Times New Roman"/>
    </w:rPr>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tcPr>
        <w:shd w:val="clear" w:color="fef2ca" w:fill="fef2ca"/>
      </w:tcPr>
    </w:tblStylePr>
    <w:tblStylePr w:type="band1Vert">
      <w:tcPr>
        <w:shd w:val="clear" w:color="fef2ca" w:fill="fef2ca"/>
      </w:tcPr>
    </w:tblStylePr>
    <w:tblStylePr w:type="firstRow">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Row">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customStyle="1">
    <w:name w:val="Grid Table 4 - Accent 5"/>
    <w:basedOn w:val="645"/>
    <w:uiPriority w:val="0"/>
    <w:qFormat/>
    <w:pPr>
      <w:spacing w:after="0" w:line="240" w:lineRule="auto"/>
    </w:pPr>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tcPr>
        <w:shd w:val="clear" w:color="d8e2f2" w:fill="d8e2f2"/>
      </w:tcPr>
    </w:tblStylePr>
    <w:tblStylePr w:type="band1Vert">
      <w:tcPr>
        <w:shd w:val="clear" w:color="d8e2f2" w:fill="d8e2f2"/>
      </w:tcPr>
    </w:tblStylePr>
    <w:tblStylePr w:type="firstRow">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Row">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customStyle="1">
    <w:name w:val="Grid Table 4 - Accent 6"/>
    <w:basedOn w:val="645"/>
    <w:uiPriority w:val="0"/>
    <w:qFormat/>
    <w:pPr>
      <w:spacing w:after="0" w:line="240" w:lineRule="auto"/>
    </w:pPr>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tcPr>
        <w:shd w:val="clear" w:color="e1efd8" w:fill="e1efd8"/>
      </w:tcPr>
    </w:tblStylePr>
    <w:tblStylePr w:type="band1Vert">
      <w:tcPr>
        <w:shd w:val="clear" w:color="e1efd8" w:fill="e1efd8"/>
      </w:tcPr>
    </w:tblStylePr>
    <w:tblStylePr w:type="firstRow">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Row">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5" w:customStyle="1">
    <w:name w:val="Grid Table 5 Dark"/>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tcPr>
        <w:shd w:val="clear" w:color="000000" w:fill="000000"/>
      </w:tcPr>
    </w:tblStylePr>
    <w:tblStylePr w:type="firstRow">
      <w:tcPr>
        <w:shd w:val="clear" w:color="000000" w:fill="000000"/>
      </w:tcPr>
    </w:tblStylePr>
    <w:tblStylePr w:type="lastCol">
      <w:tcPr>
        <w:shd w:val="clear" w:color="000000" w:fill="000000"/>
      </w:tcPr>
    </w:tblStylePr>
    <w:tblStylePr w:type="lastRow">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Grid Table 5 Dark- Accent 1"/>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tcPr>
        <w:shd w:val="clear" w:color="5b9bd5" w:fill="5b9bd5"/>
      </w:tcPr>
    </w:tblStylePr>
    <w:tblStylePr w:type="firstRow">
      <w:tcPr>
        <w:shd w:val="clear" w:color="5b9bd5" w:fill="5b9bd5"/>
      </w:tcPr>
    </w:tblStylePr>
    <w:tblStylePr w:type="lastCol">
      <w:tcPr>
        <w:shd w:val="clear" w:color="5b9bd5" w:fill="5b9bd5"/>
      </w:tcPr>
    </w:tblStylePr>
    <w:tblStylePr w:type="lastRow">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7" w:customStyle="1">
    <w:name w:val="Grid Table 5 Dark - Accent 2"/>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tcPr>
        <w:shd w:val="clear" w:color="ed7d31" w:fill="ed7d31"/>
      </w:tcPr>
    </w:tblStylePr>
    <w:tblStylePr w:type="firstRow">
      <w:tcPr>
        <w:shd w:val="clear" w:color="ed7d31" w:fill="ed7d31"/>
      </w:tcPr>
    </w:tblStylePr>
    <w:tblStylePr w:type="lastCol">
      <w:tcPr>
        <w:shd w:val="clear" w:color="ed7d31" w:fill="ed7d31"/>
      </w:tcPr>
    </w:tblStylePr>
    <w:tblStylePr w:type="lastRow">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8" w:customStyle="1">
    <w:name w:val="Grid Table 5 Dark - Accent 3"/>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9" w:customStyle="1">
    <w:name w:val="Grid Table 5 Dark- Accent 4"/>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tcPr>
        <w:shd w:val="clear" w:color="ffc000" w:fill="ffc000"/>
      </w:tcPr>
    </w:tblStylePr>
    <w:tblStylePr w:type="firstRow">
      <w:tcPr>
        <w:shd w:val="clear" w:color="ffc000" w:fill="ffc000"/>
      </w:tcPr>
    </w:tblStylePr>
    <w:tblStylePr w:type="lastCol">
      <w:tcPr>
        <w:shd w:val="clear" w:color="ffc000" w:fill="ffc000"/>
      </w:tcPr>
    </w:tblStylePr>
    <w:tblStylePr w:type="lastRow">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Grid Table 5 Dark - Accent 5"/>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Grid Table 5 Dark - Accent 6"/>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Grid Table 6 Colorful"/>
    <w:basedOn w:val="645"/>
    <w:uiPriority w:val="0"/>
    <w:qFormat/>
    <w:pPr>
      <w:spacing w:after="0" w:line="240" w:lineRule="auto"/>
    </w:pPr>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tcPr>
        <w:shd w:val="clear" w:color="cacaca" w:fill="cacaca"/>
      </w:tcPr>
    </w:tblStylePr>
    <w:tblStylePr w:type="band1Vert">
      <w:tcPr>
        <w:shd w:val="clear" w:color="cacaca" w:fill="cacaca"/>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style>
  <w:style w:type="table" w:styleId="763" w:customStyle="1">
    <w:name w:val="Grid Table 6 Colorful - Accent 1"/>
    <w:basedOn w:val="645"/>
    <w:uiPriority w:val="0"/>
    <w:qFormat/>
    <w:pPr>
      <w:spacing w:after="0" w:line="240" w:lineRule="auto"/>
    </w:pPr>
    <w:rPr>
      <w:rFonts w:ascii="Times New Roman" w:hAnsi="Times New Roman" w:eastAsia="宋体" w:cs="Times New Roman"/>
    </w:rPr>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tcPr>
        <w:shd w:val="clear" w:color="ddeaf6" w:fill="ddeaf6"/>
      </w:tcPr>
    </w:tblStylePr>
    <w:tblStylePr w:type="band1Vert">
      <w:tcPr>
        <w:shd w:val="clear" w:color="ddeaf6" w:fill="ddeaf6"/>
      </w:tcPr>
    </w:tblStylePr>
    <w:tblStylePr w:type="firstRow">
      <w:tcPr>
        <w:tcBorders>
          <w:top w:val="none" w:color="000000" w:sz="4" w:space="0"/>
          <w:left w:val="single" w:color="ACCCE9" w:sz="12" w:space="0"/>
          <w:bottom w:val="none" w:color="000000" w:sz="4" w:space="0"/>
          <w:right w:val="none" w:color="000000" w:sz="4" w:space="0"/>
          <w:insideH w:val="none" w:color="000000" w:sz="4" w:space="0"/>
          <w:insideV w:val="none" w:color="000000" w:sz="4" w:space="0"/>
        </w:tcBorders>
      </w:tcPr>
    </w:tblStylePr>
  </w:style>
  <w:style w:type="table" w:styleId="764" w:customStyle="1">
    <w:name w:val="Grid Table 6 Colorful - Accent 2"/>
    <w:basedOn w:val="645"/>
    <w:uiPriority w:val="0"/>
    <w:qFormat/>
    <w:pPr>
      <w:spacing w:after="0" w:line="240" w:lineRule="auto"/>
    </w:pPr>
    <w:rPr>
      <w:rFonts w:ascii="Times New Roman" w:hAnsi="Times New Roman" w:eastAsia="宋体" w:cs="Times New Roman"/>
    </w:rPr>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Row">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style>
  <w:style w:type="table" w:styleId="765" w:customStyle="1">
    <w:name w:val="Grid Table 6 Colorful - Accent 3"/>
    <w:basedOn w:val="645"/>
    <w:uiPriority w:val="0"/>
    <w:qFormat/>
    <w:pPr>
      <w:spacing w:after="0" w:line="240" w:lineRule="auto"/>
    </w:pPr>
    <w:rPr>
      <w:rFonts w:ascii="Times New Roman" w:hAnsi="Times New Roman" w:eastAsia="宋体" w:cs="Times New Roman"/>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Row">
      <w:tcPr>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style>
  <w:style w:type="table" w:styleId="766" w:customStyle="1">
    <w:name w:val="Grid Table 6 Colorful - Accent 4"/>
    <w:basedOn w:val="645"/>
    <w:uiPriority w:val="0"/>
    <w:qFormat/>
    <w:pPr>
      <w:spacing w:after="0" w:line="240" w:lineRule="auto"/>
    </w:pPr>
    <w:rPr>
      <w:rFonts w:ascii="Times New Roman" w:hAnsi="Times New Roman" w:eastAsia="宋体" w:cs="Times New Roman"/>
    </w:rPr>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Row">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style>
  <w:style w:type="table" w:styleId="767" w:customStyle="1">
    <w:name w:val="Grid Table 6 Colorful - Accent 5"/>
    <w:basedOn w:val="645"/>
    <w:uiPriority w:val="0"/>
    <w:qFormat/>
    <w:pPr>
      <w:spacing w:after="0" w:line="240" w:lineRule="auto"/>
    </w:pPr>
    <w:rPr>
      <w:rFonts w:ascii="Times New Roman" w:hAnsi="Times New Roman" w:eastAsia="宋体" w:cs="Times New Roman"/>
    </w:r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Row">
      <w:tcPr>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style>
  <w:style w:type="table" w:styleId="768" w:customStyle="1">
    <w:name w:val="Grid Table 6 Colorful - Accent 6"/>
    <w:basedOn w:val="645"/>
    <w:uiPriority w:val="0"/>
    <w:qFormat/>
    <w:pPr>
      <w:spacing w:after="0" w:line="240" w:lineRule="auto"/>
    </w:pPr>
    <w:rPr>
      <w:rFonts w:ascii="Times New Roman" w:hAnsi="Times New Roman" w:eastAsia="宋体" w:cs="Times New Roman"/>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Row">
      <w:tcPr>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style>
  <w:style w:type="table" w:styleId="769" w:customStyle="1">
    <w:name w:val="Grid Table 7 Colorful"/>
    <w:basedOn w:val="645"/>
    <w:uiPriority w:val="0"/>
    <w:qFormat/>
    <w:pPr>
      <w:spacing w:after="0" w:line="240" w:lineRule="auto"/>
    </w:pPr>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7 Colorful - Accent 1"/>
    <w:basedOn w:val="645"/>
    <w:uiPriority w:val="0"/>
    <w:qFormat/>
    <w:pPr>
      <w:spacing w:after="0" w:line="240" w:lineRule="auto"/>
    </w:pPr>
    <w:rPr>
      <w:rFonts w:ascii="Times New Roman" w:hAnsi="Times New Roman" w:eastAsia="宋体" w:cs="Times New Roman"/>
    </w:rPr>
    <w:tblPr>
      <w:tblBorders>
        <w:bottom w:val="single" w:color="ACCCE9" w:sz="4" w:space="0"/>
        <w:right w:val="single" w:color="ACCCE9" w:sz="4" w:space="0"/>
        <w:insideH w:val="single" w:color="ACCCE9" w:sz="4" w:space="0"/>
        <w:insideV w:val="single" w:color="ACCCE9" w:sz="4" w:space="0"/>
      </w:tblBorders>
    </w:tblPr>
    <w:tblStylePr w:type="band1Horz">
      <w:tcPr>
        <w:shd w:val="clear" w:color="ddeaf6" w:fill="ddeaf6"/>
      </w:tcPr>
    </w:tblStylePr>
    <w:tblStylePr w:type="band1Vert">
      <w:tcPr>
        <w:shd w:val="clear" w:color="ddeaf6" w:fill="ddeaf6"/>
      </w:tcPr>
    </w:tblStylePr>
    <w:tblStylePr w:type="firstCol">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tcPr>
        <w:shd w:val="clear" w:color="ffffff" w:fill="ffffff"/>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Row">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7 Colorful - Accent 2"/>
    <w:basedOn w:val="645"/>
    <w:uiPriority w:val="0"/>
    <w:qFormat/>
    <w:pPr>
      <w:spacing w:after="0" w:line="240" w:lineRule="auto"/>
    </w:pPr>
    <w:rPr>
      <w:rFonts w:ascii="Times New Roman" w:hAnsi="Times New Roman" w:eastAsia="宋体" w:cs="Times New Roman"/>
    </w:rPr>
    <w:tblPr>
      <w:tblBorders>
        <w:bottom w:val="single" w:color="F4B285" w:sz="4" w:space="0"/>
        <w:right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Col">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7 Colorful - Accent 3"/>
    <w:basedOn w:val="645"/>
    <w:uiPriority w:val="0"/>
    <w:qFormat/>
    <w:pPr>
      <w:spacing w:after="0" w:line="240" w:lineRule="auto"/>
    </w:pPr>
    <w:rPr>
      <w:rFonts w:ascii="Times New Roman" w:hAnsi="Times New Roman" w:eastAsia="宋体" w:cs="Times New Roman"/>
    </w:rPr>
    <w:tblPr>
      <w:tblBorders>
        <w:bottom w:val="single" w:color="A5A5A5" w:sz="4" w:space="0"/>
        <w:right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Col">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tcPr>
        <w:shd w:val="clear" w:color="ffffff" w:fill="ffffff"/>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Row">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7 Colorful - Accent 4"/>
    <w:basedOn w:val="645"/>
    <w:uiPriority w:val="0"/>
    <w:qFormat/>
    <w:pPr>
      <w:spacing w:after="0" w:line="240" w:lineRule="auto"/>
    </w:pPr>
    <w:rPr>
      <w:rFonts w:ascii="Times New Roman" w:hAnsi="Times New Roman" w:eastAsia="宋体" w:cs="Times New Roman"/>
    </w:rPr>
    <w:tblPr>
      <w:tblBorders>
        <w:bottom w:val="single" w:color="FFD864" w:sz="4" w:space="0"/>
        <w:right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Col">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7 Colorful - Accent 5"/>
    <w:basedOn w:val="645"/>
    <w:uiPriority w:val="0"/>
    <w:qFormat/>
    <w:pPr>
      <w:spacing w:after="0" w:line="240" w:lineRule="auto"/>
    </w:pPr>
    <w:rPr>
      <w:rFonts w:ascii="Times New Roman" w:hAnsi="Times New Roman" w:eastAsia="宋体" w:cs="Times New Roman"/>
    </w:rPr>
    <w:tblPr>
      <w:tblBorders>
        <w:bottom w:val="single" w:color="95AFDD" w:sz="4" w:space="0"/>
        <w:right w:val="single" w:color="95AFDD" w:sz="4" w:space="0"/>
        <w:insideH w:val="single" w:color="95AFDD" w:sz="4" w:space="0"/>
        <w:insideV w:val="single" w:color="95AFDD" w:sz="4" w:space="0"/>
      </w:tblBorders>
    </w:tblPr>
    <w:tblStylePr w:type="band1Horz">
      <w:tcPr>
        <w:shd w:val="clear" w:color="d8e2f2" w:fill="d8e2f2"/>
      </w:tcPr>
    </w:tblStylePr>
    <w:tblStylePr w:type="band1Vert">
      <w:tcPr>
        <w:shd w:val="clear" w:color="d8e2f2" w:fill="d8e2f2"/>
      </w:tcPr>
    </w:tblStylePr>
    <w:tblStylePr w:type="firstCol">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tcPr>
        <w:shd w:val="clear" w:color="ffffff" w:fill="ffffff"/>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Row">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7 Colorful - Accent 6"/>
    <w:basedOn w:val="645"/>
    <w:uiPriority w:val="0"/>
    <w:qFormat/>
    <w:pPr>
      <w:spacing w:after="0" w:line="240" w:lineRule="auto"/>
    </w:pPr>
    <w:rPr>
      <w:rFonts w:ascii="Times New Roman" w:hAnsi="Times New Roman" w:eastAsia="宋体" w:cs="Times New Roman"/>
    </w:rPr>
    <w:tblPr>
      <w:tblBorders>
        <w:bottom w:val="single" w:color="ADD394" w:sz="4" w:space="0"/>
        <w:right w:val="single" w:color="ADD394" w:sz="4" w:space="0"/>
        <w:insideH w:val="single" w:color="ADD394" w:sz="4" w:space="0"/>
        <w:insideV w:val="single" w:color="ADD394" w:sz="4" w:space="0"/>
      </w:tblBorders>
    </w:tblPr>
    <w:tblStylePr w:type="band1Horz">
      <w:tcPr>
        <w:shd w:val="clear" w:color="e1efd8" w:fill="e1efd8"/>
      </w:tcPr>
    </w:tblStylePr>
    <w:tblStylePr w:type="band1Vert">
      <w:tcPr>
        <w:shd w:val="clear" w:color="e1efd8" w:fill="e1efd8"/>
      </w:tcPr>
    </w:tblStylePr>
    <w:tblStylePr w:type="firstCol">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tcPr>
        <w:shd w:val="clear" w:color="ffffff" w:fill="ffffff"/>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Row">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List Table 1 Light"/>
    <w:basedOn w:val="645"/>
    <w:uiPriority w:val="0"/>
    <w:qFormat/>
    <w:pPr>
      <w:spacing w:after="0" w:line="240" w:lineRule="auto"/>
    </w:pPr>
    <w:rPr>
      <w:rFonts w:ascii="Times New Roman" w:hAnsi="Times New Roman" w:eastAsia="宋体" w:cs="Times New Roman"/>
    </w:rPr>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List Table 1 Light - Accent 1"/>
    <w:basedOn w:val="645"/>
    <w:uiPriority w:val="0"/>
    <w:qFormat/>
    <w:pPr>
      <w:spacing w:after="0" w:line="240" w:lineRule="auto"/>
    </w:pPr>
    <w:rPr>
      <w:rFonts w:ascii="Times New Roman" w:hAnsi="Times New Roman" w:eastAsia="宋体" w:cs="Times New Roman"/>
    </w:rPr>
    <w:tblPr/>
    <w:tblStylePr w:type="band1Horz">
      <w:tcPr>
        <w:shd w:val="clear" w:color="d5e5f4" w:fill="d5e5f4"/>
      </w:tcPr>
    </w:tblStylePr>
    <w:tblStylePr w:type="band1Vert">
      <w:tcPr>
        <w:shd w:val="clear" w:color="d5e5f4" w:fill="d5e5f4"/>
      </w:tcPr>
    </w:tblStylePr>
    <w:tblStylePr w:type="firstRow">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List Table 1 Light - Accent 2"/>
    <w:basedOn w:val="645"/>
    <w:uiPriority w:val="0"/>
    <w:qFormat/>
    <w:pPr>
      <w:spacing w:after="0" w:line="240" w:lineRule="auto"/>
    </w:pPr>
    <w:rPr>
      <w:rFonts w:ascii="Times New Roman" w:hAnsi="Times New Roman" w:eastAsia="宋体" w:cs="Times New Roman"/>
    </w:rPr>
    <w:tblPr/>
    <w:tblStylePr w:type="band1Horz">
      <w:tcPr>
        <w:shd w:val="clear" w:color="fadecb" w:fill="fadecb"/>
      </w:tcPr>
    </w:tblStylePr>
    <w:tblStylePr w:type="band1Vert">
      <w:tcPr>
        <w:shd w:val="clear" w:color="fadecb" w:fill="fadecb"/>
      </w:tcPr>
    </w:tblStylePr>
    <w:tblStylePr w:type="firstRow">
      <w:tcPr>
        <w:tcBorders>
          <w:top w:val="none" w:color="000000" w:sz="4" w:space="0"/>
          <w:left w:val="single" w:color="ED7D31"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List Table 1 Light - Accent 3"/>
    <w:basedOn w:val="645"/>
    <w:uiPriority w:val="0"/>
    <w:qFormat/>
    <w:pPr>
      <w:spacing w:after="0" w:line="240" w:lineRule="auto"/>
    </w:pPr>
    <w:rPr>
      <w:rFonts w:ascii="Times New Roman" w:hAnsi="Times New Roman" w:eastAsia="宋体" w:cs="Times New Roman"/>
    </w:rPr>
    <w:tblPr/>
    <w:tblStylePr w:type="band1Horz">
      <w:tcPr>
        <w:shd w:val="clear" w:color="e8e8e8" w:fill="e8e8e8"/>
      </w:tcPr>
    </w:tblStylePr>
    <w:tblStylePr w:type="band1Vert">
      <w:tcPr>
        <w:shd w:val="clear" w:color="e8e8e8" w:fill="e8e8e8"/>
      </w:tcPr>
    </w:tblStylePr>
    <w:tblStylePr w:type="firstRow">
      <w:tcPr>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List Table 1 Light - Accent 4"/>
    <w:basedOn w:val="645"/>
    <w:uiPriority w:val="0"/>
    <w:qFormat/>
    <w:pPr>
      <w:spacing w:after="0" w:line="240" w:lineRule="auto"/>
    </w:pPr>
    <w:rPr>
      <w:rFonts w:ascii="Times New Roman" w:hAnsi="Times New Roman" w:eastAsia="宋体" w:cs="Times New Roman"/>
    </w:rPr>
    <w:tblPr/>
    <w:tblStylePr w:type="band1Horz">
      <w:tcPr>
        <w:shd w:val="clear" w:color="ffefbe" w:fill="ffefbe"/>
      </w:tcPr>
    </w:tblStylePr>
    <w:tblStylePr w:type="band1Vert">
      <w:tcPr>
        <w:shd w:val="clear" w:color="ffefbe" w:fill="ffefbe"/>
      </w:tcPr>
    </w:tblStylePr>
    <w:tblStylePr w:type="firstRow">
      <w:tcPr>
        <w:tcBorders>
          <w:top w:val="none" w:color="000000" w:sz="4" w:space="0"/>
          <w:left w:val="single" w:color="FFC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List Table 1 Light - Accent 5"/>
    <w:basedOn w:val="645"/>
    <w:uiPriority w:val="0"/>
    <w:qFormat/>
    <w:pPr>
      <w:spacing w:after="0" w:line="240" w:lineRule="auto"/>
    </w:pPr>
    <w:rPr>
      <w:rFonts w:ascii="Times New Roman" w:hAnsi="Times New Roman" w:eastAsia="宋体" w:cs="Times New Roman"/>
    </w:rPr>
    <w:tblPr/>
    <w:tblStylePr w:type="band1Horz">
      <w:tcPr>
        <w:shd w:val="clear" w:color="d0dbf0" w:fill="d0dbf0"/>
      </w:tcPr>
    </w:tblStylePr>
    <w:tblStylePr w:type="band1Vert">
      <w:tcPr>
        <w:shd w:val="clear" w:color="d0dbf0" w:fill="d0dbf0"/>
      </w:tcPr>
    </w:tblStylePr>
    <w:tblStylePr w:type="firstRow">
      <w:tcPr>
        <w:tcBorders>
          <w:top w:val="none" w:color="000000" w:sz="4" w:space="0"/>
          <w:left w:val="single" w:color="4472C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List Table 1 Light - Accent 6"/>
    <w:basedOn w:val="645"/>
    <w:uiPriority w:val="0"/>
    <w:qFormat/>
    <w:pPr>
      <w:spacing w:after="0" w:line="240" w:lineRule="auto"/>
    </w:pPr>
    <w:rPr>
      <w:rFonts w:ascii="Times New Roman" w:hAnsi="Times New Roman" w:eastAsia="宋体" w:cs="Times New Roman"/>
    </w:rPr>
    <w:tblPr/>
    <w:tblStylePr w:type="band1Horz">
      <w:tcPr>
        <w:shd w:val="clear" w:color="daebcf" w:fill="daebcf"/>
      </w:tcPr>
    </w:tblStylePr>
    <w:tblStylePr w:type="band1Vert">
      <w:tcPr>
        <w:shd w:val="clear" w:color="daebcf" w:fill="daebcf"/>
      </w:tcPr>
    </w:tblStylePr>
    <w:tblStylePr w:type="firstRow">
      <w:tcPr>
        <w:tcBorders>
          <w:top w:val="none" w:color="000000" w:sz="4" w:space="0"/>
          <w:left w:val="single" w:color="70AD47"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List Table 2"/>
    <w:basedOn w:val="645"/>
    <w:uiPriority w:val="0"/>
    <w:qFormat/>
    <w:pPr>
      <w:spacing w:after="0" w:line="240" w:lineRule="auto"/>
    </w:pPr>
    <w:rPr>
      <w:rFonts w:ascii="Times New Roman" w:hAnsi="Times New Roman" w:eastAsia="宋体" w:cs="Times New Roman"/>
    </w:rPr>
    <w:tblPr>
      <w:tblBorders>
        <w:top w:val="single" w:color="6E6E6E" w:sz="4" w:space="0"/>
        <w:bottom w:val="single" w:color="6E6E6E" w:sz="4" w:space="0"/>
        <w:insideH w:val="single" w:color="6E6E6E" w:sz="4" w:space="0"/>
      </w:tblBorders>
    </w:tblPr>
    <w:tblStylePr w:type="band1Horz">
      <w:tcPr>
        <w:shd w:val="clear" w:color="bebebe" w:fill="bebebe"/>
      </w:tcPr>
    </w:tblStylePr>
    <w:tblStylePr w:type="band1Vert">
      <w:tcPr>
        <w:shd w:val="clear" w:color="bebebe" w:fill="bebebe"/>
      </w:tcPr>
    </w:tblStylePr>
    <w:tblStylePr w:type="fir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84" w:customStyle="1">
    <w:name w:val="List Table 2 - Accent 1"/>
    <w:basedOn w:val="645"/>
    <w:uiPriority w:val="0"/>
    <w:qFormat/>
    <w:pPr>
      <w:spacing w:after="0" w:line="240" w:lineRule="auto"/>
    </w:pPr>
    <w:rPr>
      <w:rFonts w:ascii="Times New Roman" w:hAnsi="Times New Roman" w:eastAsia="宋体" w:cs="Times New Roman"/>
    </w:rPr>
    <w:tblPr>
      <w:tblBorders>
        <w:top w:val="single" w:color="A2C6E7" w:sz="4" w:space="0"/>
        <w:bottom w:val="single" w:color="A2C6E7" w:sz="4" w:space="0"/>
        <w:insideH w:val="single" w:color="A2C6E7" w:sz="4" w:space="0"/>
      </w:tblBorders>
    </w:tblPr>
    <w:tblStylePr w:type="band1Horz">
      <w:tcPr>
        <w:shd w:val="clear" w:color="d5e5f4" w:fill="d5e5f4"/>
      </w:tcPr>
    </w:tblStylePr>
    <w:tblStylePr w:type="band1Vert">
      <w:tcPr>
        <w:shd w:val="clear" w:color="d5e5f4" w:fill="d5e5f4"/>
      </w:tcPr>
    </w:tblStylePr>
    <w:tblStylePr w:type="firstRow">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style>
  <w:style w:type="table" w:styleId="785" w:customStyle="1">
    <w:name w:val="List Table 2 - Accent 2"/>
    <w:basedOn w:val="645"/>
    <w:uiPriority w:val="0"/>
    <w:qFormat/>
    <w:pPr>
      <w:spacing w:after="0" w:line="240" w:lineRule="auto"/>
    </w:pPr>
    <w:rPr>
      <w:rFonts w:ascii="Times New Roman" w:hAnsi="Times New Roman" w:eastAsia="宋体" w:cs="Times New Roman"/>
    </w:rPr>
    <w:tblPr>
      <w:tblBorders>
        <w:top w:val="single" w:color="F4B58A" w:sz="4" w:space="0"/>
        <w:bottom w:val="single" w:color="F4B58A" w:sz="4" w:space="0"/>
        <w:insideH w:val="single" w:color="F4B58A" w:sz="4" w:space="0"/>
      </w:tblBorders>
    </w:tblPr>
    <w:tblStylePr w:type="band1Horz">
      <w:tcPr>
        <w:shd w:val="clear" w:color="fadecb" w:fill="fadecb"/>
      </w:tcPr>
    </w:tblStylePr>
    <w:tblStylePr w:type="band1Vert">
      <w:tcPr>
        <w:shd w:val="clear" w:color="fadecb" w:fill="fadecb"/>
      </w:tcPr>
    </w:tblStylePr>
    <w:tblStylePr w:type="firstRow">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style>
  <w:style w:type="table" w:styleId="786" w:customStyle="1">
    <w:name w:val="List Table 2 - Accent 3"/>
    <w:basedOn w:val="645"/>
    <w:uiPriority w:val="0"/>
    <w:qFormat/>
    <w:pPr>
      <w:spacing w:after="0" w:line="240" w:lineRule="auto"/>
    </w:pPr>
    <w:rPr>
      <w:rFonts w:ascii="Times New Roman" w:hAnsi="Times New Roman" w:eastAsia="宋体" w:cs="Times New Roman"/>
    </w:rPr>
    <w:tblPr>
      <w:tblBorders>
        <w:top w:val="single" w:color="CCCCCC" w:sz="4" w:space="0"/>
        <w:bottom w:val="single" w:color="CCCCCC" w:sz="4" w:space="0"/>
        <w:insideH w:val="single" w:color="CCCCCC" w:sz="4" w:space="0"/>
      </w:tblBorders>
    </w:tblPr>
    <w:tblStylePr w:type="band1Horz">
      <w:tcPr>
        <w:shd w:val="clear" w:color="e8e8e8" w:fill="e8e8e8"/>
      </w:tcPr>
    </w:tblStylePr>
    <w:tblStylePr w:type="band1Vert">
      <w:tcPr>
        <w:shd w:val="clear" w:color="e8e8e8" w:fill="e8e8e8"/>
      </w:tcPr>
    </w:tblStylePr>
    <w:tblStylePr w:type="firstRow">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style>
  <w:style w:type="table" w:styleId="787" w:customStyle="1">
    <w:name w:val="List Table 2 - Accent 4"/>
    <w:basedOn w:val="645"/>
    <w:uiPriority w:val="0"/>
    <w:qFormat/>
    <w:pPr>
      <w:spacing w:after="0" w:line="240" w:lineRule="auto"/>
    </w:pPr>
    <w:rPr>
      <w:rFonts w:ascii="Times New Roman" w:hAnsi="Times New Roman" w:eastAsia="宋体" w:cs="Times New Roman"/>
    </w:rPr>
    <w:tblPr>
      <w:tblBorders>
        <w:top w:val="single" w:color="FFDB6E" w:sz="4" w:space="0"/>
        <w:bottom w:val="single" w:color="FFDB6E" w:sz="4" w:space="0"/>
        <w:insideH w:val="single" w:color="FFDB6E" w:sz="4" w:space="0"/>
      </w:tblBorders>
    </w:tblPr>
    <w:tblStylePr w:type="band1Horz">
      <w:tcPr>
        <w:shd w:val="clear" w:color="ffefbe" w:fill="ffefbe"/>
      </w:tcPr>
    </w:tblStylePr>
    <w:tblStylePr w:type="band1Vert">
      <w:tcPr>
        <w:shd w:val="clear" w:color="ffefbe" w:fill="ffefbe"/>
      </w:tcPr>
    </w:tblStylePr>
    <w:tblStylePr w:type="firstRow">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style>
  <w:style w:type="table" w:styleId="788" w:customStyle="1">
    <w:name w:val="List Table 2 - Accent 5"/>
    <w:basedOn w:val="645"/>
    <w:uiPriority w:val="0"/>
    <w:qFormat/>
    <w:pPr>
      <w:spacing w:after="0" w:line="240" w:lineRule="auto"/>
    </w:pPr>
    <w:rPr>
      <w:rFonts w:ascii="Times New Roman" w:hAnsi="Times New Roman" w:eastAsia="宋体" w:cs="Times New Roman"/>
    </w:rPr>
    <w:tblPr>
      <w:tblBorders>
        <w:top w:val="single" w:color="95AFDD" w:sz="4" w:space="0"/>
        <w:bottom w:val="single" w:color="95AFDD" w:sz="4" w:space="0"/>
        <w:insideH w:val="single" w:color="95AFDD" w:sz="4" w:space="0"/>
      </w:tblBorders>
    </w:tblPr>
    <w:tblStylePr w:type="band1Horz">
      <w:tcPr>
        <w:shd w:val="clear" w:color="d0dbf0" w:fill="d0dbf0"/>
      </w:tcPr>
    </w:tblStylePr>
    <w:tblStylePr w:type="band1Vert">
      <w:tcPr>
        <w:shd w:val="clear" w:color="d0dbf0" w:fill="d0dbf0"/>
      </w:tcPr>
    </w:tblStylePr>
    <w:tblStylePr w:type="firstRow">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style>
  <w:style w:type="table" w:styleId="789" w:customStyle="1">
    <w:name w:val="List Table 2 - Accent 6"/>
    <w:basedOn w:val="645"/>
    <w:uiPriority w:val="0"/>
    <w:qFormat/>
    <w:pPr>
      <w:spacing w:after="0" w:line="240" w:lineRule="auto"/>
    </w:pPr>
    <w:rPr>
      <w:rFonts w:ascii="Times New Roman" w:hAnsi="Times New Roman" w:eastAsia="宋体" w:cs="Times New Roman"/>
    </w:rPr>
    <w:tblPr>
      <w:tblBorders>
        <w:top w:val="single" w:color="ADD394" w:sz="4" w:space="0"/>
        <w:bottom w:val="single" w:color="ADD394" w:sz="4" w:space="0"/>
        <w:insideH w:val="single" w:color="ADD394" w:sz="4" w:space="0"/>
      </w:tblBorders>
    </w:tblPr>
    <w:tblStylePr w:type="band1Horz">
      <w:tcPr>
        <w:shd w:val="clear" w:color="daebcf" w:fill="daebcf"/>
      </w:tcPr>
    </w:tblStylePr>
    <w:tblStylePr w:type="band1Vert">
      <w:tcPr>
        <w:shd w:val="clear" w:color="daebcf" w:fill="daebcf"/>
      </w:tcPr>
    </w:tblStylePr>
    <w:tblStylePr w:type="firstRow">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style>
  <w:style w:type="table" w:styleId="790" w:customStyle="1">
    <w:name w:val="List Table 3"/>
    <w:basedOn w:val="645"/>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000000" w:fill="000000"/>
      </w:tcPr>
    </w:tblStylePr>
  </w:style>
  <w:style w:type="table" w:styleId="791" w:customStyle="1">
    <w:name w:val="List Table 3 - Accent 1"/>
    <w:basedOn w:val="645"/>
    <w:uiPriority w:val="0"/>
    <w:qFormat/>
    <w:pPr>
      <w:spacing w:after="0" w:line="240" w:lineRule="auto"/>
    </w:pPr>
    <w:rPr>
      <w:rFonts w:ascii="Times New Roman" w:hAnsi="Times New Roman" w:eastAsia="宋体" w:cs="Times New Roman"/>
    </w:rPr>
    <w:tblPr>
      <w:tblBorders>
        <w:top w:val="single" w:color="5B9BD5" w:sz="4" w:space="0"/>
        <w:left w:val="single" w:color="5B9BD5" w:sz="4" w:space="0"/>
        <w:bottom w:val="single" w:color="5B9BD5" w:sz="4" w:space="0"/>
        <w:right w:val="single" w:color="5B9BD5" w:sz="4" w:space="0"/>
      </w:tblBorders>
    </w:tblPr>
    <w:tblStylePr w:type="band1Horz">
      <w:tcPr>
        <w:tcBorders>
          <w:top w:val="single" w:color="5B9BD5" w:sz="4" w:space="0"/>
          <w:left w:val="single" w:color="5B9BD5"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5B9BD5" w:sz="4" w:space="0"/>
          <w:right w:val="single" w:color="5B9BD5" w:sz="4" w:space="0"/>
          <w:insideH w:val="none" w:color="000000" w:sz="4" w:space="0"/>
          <w:insideV w:val="none" w:color="000000" w:sz="4" w:space="0"/>
        </w:tcBorders>
      </w:tcPr>
    </w:tblStylePr>
    <w:tblStylePr w:type="firstRow">
      <w:tcPr>
        <w:shd w:val="clear" w:color="5b9bd5" w:fill="5b9bd5"/>
      </w:tcPr>
    </w:tblStylePr>
  </w:style>
  <w:style w:type="table" w:styleId="792" w:customStyle="1">
    <w:name w:val="List Table 3 - Accent 2"/>
    <w:basedOn w:val="645"/>
    <w:uiPriority w:val="0"/>
    <w:qFormat/>
    <w:pPr>
      <w:spacing w:after="0" w:line="240" w:lineRule="auto"/>
    </w:pPr>
    <w:rPr>
      <w:rFonts w:ascii="Times New Roman" w:hAnsi="Times New Roman" w:eastAsia="宋体" w:cs="Times New Roman"/>
    </w:rPr>
    <w:tblPr>
      <w:tblBorders>
        <w:top w:val="single" w:color="F4B285" w:sz="4" w:space="0"/>
        <w:left w:val="single" w:color="F4B285" w:sz="4" w:space="0"/>
        <w:bottom w:val="single" w:color="F4B285" w:sz="4" w:space="0"/>
        <w:right w:val="single" w:color="F4B285" w:sz="4" w:space="0"/>
      </w:tblBorders>
    </w:tblPr>
    <w:tblStylePr w:type="band1Horz">
      <w:tcPr>
        <w:tcBorders>
          <w:top w:val="single" w:color="F4B285" w:sz="4" w:space="0"/>
          <w:left w:val="single" w:color="F4B285"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F4B285" w:sz="4" w:space="0"/>
          <w:right w:val="single" w:color="F4B285" w:sz="4" w:space="0"/>
          <w:insideH w:val="none" w:color="000000" w:sz="4" w:space="0"/>
          <w:insideV w:val="none" w:color="000000" w:sz="4" w:space="0"/>
        </w:tcBorders>
      </w:tcPr>
    </w:tblStylePr>
    <w:tblStylePr w:type="firstRow">
      <w:tcPr>
        <w:shd w:val="clear" w:color="f4b285" w:fill="f4b285"/>
      </w:tcPr>
    </w:tblStylePr>
  </w:style>
  <w:style w:type="table" w:styleId="793" w:customStyle="1">
    <w:name w:val="List Table 3 - Accent 3"/>
    <w:basedOn w:val="645"/>
    <w:uiPriority w:val="0"/>
    <w:qFormat/>
    <w:pPr>
      <w:spacing w:after="0" w:line="240" w:lineRule="auto"/>
    </w:pPr>
    <w:rPr>
      <w:rFonts w:ascii="Times New Roman" w:hAnsi="Times New Roman" w:eastAsia="宋体" w:cs="Times New Roman"/>
    </w:rPr>
    <w:tblPr>
      <w:tblBorders>
        <w:top w:val="single" w:color="C9C9C9" w:sz="4" w:space="0"/>
        <w:left w:val="single" w:color="C9C9C9" w:sz="4" w:space="0"/>
        <w:bottom w:val="single" w:color="C9C9C9" w:sz="4" w:space="0"/>
        <w:right w:val="single" w:color="C9C9C9" w:sz="4" w:space="0"/>
      </w:tblBorders>
    </w:tblPr>
    <w:tblStylePr w:type="band1Horz">
      <w:tcPr>
        <w:tcBorders>
          <w:top w:val="single" w:color="C9C9C9" w:sz="4" w:space="0"/>
          <w:left w:val="single" w:color="C9C9C9"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C9C9C9" w:sz="4" w:space="0"/>
          <w:right w:val="single" w:color="C9C9C9" w:sz="4" w:space="0"/>
          <w:insideH w:val="none" w:color="000000" w:sz="4" w:space="0"/>
          <w:insideV w:val="none" w:color="000000" w:sz="4" w:space="0"/>
        </w:tcBorders>
      </w:tcPr>
    </w:tblStylePr>
    <w:tblStylePr w:type="firstRow">
      <w:tcPr>
        <w:shd w:val="clear" w:color="c9c9c9" w:fill="c9c9c9"/>
      </w:tcPr>
    </w:tblStylePr>
  </w:style>
  <w:style w:type="table" w:styleId="794" w:customStyle="1">
    <w:name w:val="List Table 3 - Accent 4"/>
    <w:basedOn w:val="645"/>
    <w:uiPriority w:val="0"/>
    <w:qFormat/>
    <w:pPr>
      <w:spacing w:after="0" w:line="240" w:lineRule="auto"/>
    </w:pPr>
    <w:rPr>
      <w:rFonts w:ascii="Times New Roman" w:hAnsi="Times New Roman" w:eastAsia="宋体" w:cs="Times New Roman"/>
    </w:rPr>
    <w:tblPr>
      <w:tblBorders>
        <w:top w:val="single" w:color="FFD864" w:sz="4" w:space="0"/>
        <w:left w:val="single" w:color="FFD864" w:sz="4" w:space="0"/>
        <w:bottom w:val="single" w:color="FFD864" w:sz="4" w:space="0"/>
        <w:right w:val="single" w:color="FFD864" w:sz="4" w:space="0"/>
      </w:tblBorders>
    </w:tblPr>
    <w:tblStylePr w:type="band1Horz">
      <w:tcPr>
        <w:tcBorders>
          <w:top w:val="single" w:color="FFD864" w:sz="4" w:space="0"/>
          <w:left w:val="single" w:color="FFD864"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FFD864" w:sz="4" w:space="0"/>
          <w:right w:val="single" w:color="FFD864" w:sz="4" w:space="0"/>
          <w:insideH w:val="none" w:color="000000" w:sz="4" w:space="0"/>
          <w:insideV w:val="none" w:color="000000" w:sz="4" w:space="0"/>
        </w:tcBorders>
      </w:tcPr>
    </w:tblStylePr>
    <w:tblStylePr w:type="firstRow">
      <w:tcPr>
        <w:shd w:val="clear" w:color="ffd864" w:fill="ffd864"/>
      </w:tcPr>
    </w:tblStylePr>
  </w:style>
  <w:style w:type="table" w:styleId="795" w:customStyle="1">
    <w:name w:val="List Table 3 - Accent 5"/>
    <w:basedOn w:val="645"/>
    <w:uiPriority w:val="0"/>
    <w:qFormat/>
    <w:pPr>
      <w:spacing w:after="0" w:line="240" w:lineRule="auto"/>
    </w:pPr>
    <w:rPr>
      <w:rFonts w:ascii="Times New Roman" w:hAnsi="Times New Roman" w:eastAsia="宋体" w:cs="Times New Roman"/>
    </w:rPr>
    <w:tblPr>
      <w:tblBorders>
        <w:top w:val="single" w:color="8EA9DB" w:sz="4" w:space="0"/>
        <w:left w:val="single" w:color="8EA9DB" w:sz="4" w:space="0"/>
        <w:bottom w:val="single" w:color="8EA9DB" w:sz="4" w:space="0"/>
        <w:right w:val="single" w:color="8EA9DB" w:sz="4" w:space="0"/>
      </w:tblBorders>
    </w:tblPr>
    <w:tblStylePr w:type="band1Horz">
      <w:tcPr>
        <w:tcBorders>
          <w:top w:val="single" w:color="8EA9DB" w:sz="4" w:space="0"/>
          <w:left w:val="single" w:color="8EA9DB"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8EA9DB" w:sz="4" w:space="0"/>
          <w:right w:val="single" w:color="8EA9DB" w:sz="4" w:space="0"/>
          <w:insideH w:val="none" w:color="000000" w:sz="4" w:space="0"/>
          <w:insideV w:val="none" w:color="000000" w:sz="4" w:space="0"/>
        </w:tcBorders>
      </w:tcPr>
    </w:tblStylePr>
    <w:tblStylePr w:type="firstRow">
      <w:tcPr>
        <w:shd w:val="clear" w:color="8ea9db" w:fill="8ea9db"/>
      </w:tcPr>
    </w:tblStylePr>
  </w:style>
  <w:style w:type="table" w:styleId="796" w:customStyle="1">
    <w:name w:val="List Table 3 - Accent 6"/>
    <w:basedOn w:val="645"/>
    <w:uiPriority w:val="0"/>
    <w:qFormat/>
    <w:pPr>
      <w:spacing w:after="0" w:line="240" w:lineRule="auto"/>
    </w:pPr>
    <w:rPr>
      <w:rFonts w:ascii="Times New Roman" w:hAnsi="Times New Roman" w:eastAsia="宋体" w:cs="Times New Roman"/>
    </w:rPr>
    <w:tblPr>
      <w:tblBorders>
        <w:top w:val="single" w:color="A9D08E" w:sz="4" w:space="0"/>
        <w:left w:val="single" w:color="A9D08E" w:sz="4" w:space="0"/>
        <w:bottom w:val="single" w:color="A9D08E" w:sz="4" w:space="0"/>
        <w:right w:val="single" w:color="A9D08E" w:sz="4" w:space="0"/>
      </w:tblBorders>
    </w:tblPr>
    <w:tblStylePr w:type="band1Horz">
      <w:tcPr>
        <w:tcBorders>
          <w:top w:val="single" w:color="A9D08E" w:sz="4" w:space="0"/>
          <w:left w:val="single" w:color="A9D08E"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9D08E" w:sz="4" w:space="0"/>
          <w:right w:val="single" w:color="A9D08E" w:sz="4" w:space="0"/>
          <w:insideH w:val="none" w:color="000000" w:sz="4" w:space="0"/>
          <w:insideV w:val="none" w:color="000000" w:sz="4" w:space="0"/>
        </w:tcBorders>
      </w:tcPr>
    </w:tblStylePr>
    <w:tblStylePr w:type="firstRow">
      <w:tcPr>
        <w:shd w:val="clear" w:color="a9d08e" w:fill="a9d08e"/>
      </w:tcPr>
    </w:tblStylePr>
  </w:style>
  <w:style w:type="table" w:styleId="797" w:customStyle="1">
    <w:name w:val="List Table 4"/>
    <w:basedOn w:val="645"/>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bebebe" w:fill="bebebe"/>
      </w:tcPr>
    </w:tblStylePr>
    <w:tblStylePr w:type="band1Vert">
      <w:tcPr>
        <w:shd w:val="clear" w:color="bebebe" w:fill="bebebe"/>
      </w:tcPr>
    </w:tblStylePr>
    <w:tblStylePr w:type="firstRow">
      <w:tcPr>
        <w:shd w:val="clear" w:color="000000" w:fill="000000"/>
      </w:tcPr>
    </w:tblStylePr>
  </w:style>
  <w:style w:type="table" w:styleId="798" w:customStyle="1">
    <w:name w:val="List Table 4 - Accent 1"/>
    <w:basedOn w:val="645"/>
    <w:uiPriority w:val="0"/>
    <w:qFormat/>
    <w:pPr>
      <w:spacing w:after="0" w:line="240" w:lineRule="auto"/>
    </w:pPr>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tcPr>
        <w:shd w:val="clear" w:color="d5e5f4" w:fill="d5e5f4"/>
      </w:tcPr>
    </w:tblStylePr>
    <w:tblStylePr w:type="band1Vert">
      <w:tcPr>
        <w:shd w:val="clear" w:color="d5e5f4" w:fill="d5e5f4"/>
      </w:tcPr>
    </w:tblStylePr>
    <w:tblStylePr w:type="firstRow">
      <w:tcPr>
        <w:shd w:val="clear" w:color="5b9bd5" w:fill="5b9bd5"/>
      </w:tcPr>
    </w:tblStylePr>
  </w:style>
  <w:style w:type="table" w:styleId="799" w:customStyle="1">
    <w:name w:val="List Table 4 - Accent 2"/>
    <w:basedOn w:val="645"/>
    <w:uiPriority w:val="0"/>
    <w:qFormat/>
    <w:pPr>
      <w:spacing w:after="0" w:line="240" w:lineRule="auto"/>
    </w:pPr>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tcPr>
        <w:shd w:val="clear" w:color="fadecb" w:fill="fadecb"/>
      </w:tcPr>
    </w:tblStylePr>
    <w:tblStylePr w:type="band1Vert">
      <w:tcPr>
        <w:shd w:val="clear" w:color="fadecb" w:fill="fadecb"/>
      </w:tcPr>
    </w:tblStylePr>
    <w:tblStylePr w:type="firstRow">
      <w:tcPr>
        <w:shd w:val="clear" w:color="ed7d31" w:fill="ed7d31"/>
      </w:tcPr>
    </w:tblStylePr>
  </w:style>
  <w:style w:type="table" w:styleId="800" w:customStyle="1">
    <w:name w:val="List Table 4 - Accent 3"/>
    <w:basedOn w:val="645"/>
    <w:uiPriority w:val="0"/>
    <w:qFormat/>
    <w:pPr>
      <w:spacing w:after="0" w:line="240" w:lineRule="auto"/>
    </w:pPr>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tcPr>
        <w:shd w:val="clear" w:color="e8e8e8" w:fill="e8e8e8"/>
      </w:tcPr>
    </w:tblStylePr>
    <w:tblStylePr w:type="band1Vert">
      <w:tcPr>
        <w:shd w:val="clear" w:color="e8e8e8" w:fill="e8e8e8"/>
      </w:tcPr>
    </w:tblStylePr>
    <w:tblStylePr w:type="firstRow">
      <w:tcPr>
        <w:shd w:val="clear" w:color="a5a5a5" w:fill="a5a5a5"/>
      </w:tcPr>
    </w:tblStylePr>
  </w:style>
  <w:style w:type="table" w:styleId="801" w:customStyle="1">
    <w:name w:val="List Table 4 - Accent 4"/>
    <w:basedOn w:val="645"/>
    <w:uiPriority w:val="0"/>
    <w:qFormat/>
    <w:pPr>
      <w:spacing w:after="0" w:line="240" w:lineRule="auto"/>
    </w:pPr>
    <w:rPr>
      <w:rFonts w:ascii="Times New Roman" w:hAnsi="Times New Roman" w:eastAsia="宋体" w:cs="Times New Roman"/>
    </w:rPr>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tcPr>
        <w:shd w:val="clear" w:color="ffefbe" w:fill="ffefbe"/>
      </w:tcPr>
    </w:tblStylePr>
    <w:tblStylePr w:type="band1Vert">
      <w:tcPr>
        <w:shd w:val="clear" w:color="ffefbe" w:fill="ffefbe"/>
      </w:tcPr>
    </w:tblStylePr>
    <w:tblStylePr w:type="firstRow">
      <w:tcPr>
        <w:shd w:val="clear" w:color="ffc000" w:fill="ffc000"/>
      </w:tcPr>
    </w:tblStylePr>
  </w:style>
  <w:style w:type="table" w:styleId="802" w:customStyle="1">
    <w:name w:val="List Table 4 - Accent 5"/>
    <w:basedOn w:val="645"/>
    <w:uiPriority w:val="0"/>
    <w:qFormat/>
    <w:pPr>
      <w:spacing w:after="0" w:line="240" w:lineRule="auto"/>
    </w:pPr>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tcPr>
        <w:shd w:val="clear" w:color="d0dbf0" w:fill="d0dbf0"/>
      </w:tcPr>
    </w:tblStylePr>
    <w:tblStylePr w:type="band1Vert">
      <w:tcPr>
        <w:shd w:val="clear" w:color="d0dbf0" w:fill="d0dbf0"/>
      </w:tcPr>
    </w:tblStylePr>
    <w:tblStylePr w:type="firstRow">
      <w:tcPr>
        <w:shd w:val="clear" w:color="4472c4" w:fill="4472c4"/>
      </w:tcPr>
    </w:tblStylePr>
  </w:style>
  <w:style w:type="table" w:styleId="803" w:customStyle="1">
    <w:name w:val="List Table 4 - Accent 6"/>
    <w:basedOn w:val="645"/>
    <w:uiPriority w:val="0"/>
    <w:qFormat/>
    <w:pPr>
      <w:spacing w:after="0" w:line="240" w:lineRule="auto"/>
    </w:pPr>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tcPr>
        <w:shd w:val="clear" w:color="daebcf" w:fill="daebcf"/>
      </w:tcPr>
    </w:tblStylePr>
    <w:tblStylePr w:type="band1Vert">
      <w:tcPr>
        <w:shd w:val="clear" w:color="daebcf" w:fill="daebcf"/>
      </w:tcPr>
    </w:tblStylePr>
    <w:tblStylePr w:type="firstRow">
      <w:tcPr>
        <w:shd w:val="clear" w:color="70ad47" w:fill="70ad47"/>
      </w:tcPr>
    </w:tblStylePr>
  </w:style>
  <w:style w:type="table" w:styleId="804" w:customStyle="1">
    <w:name w:val="List Table 5 Dark"/>
    <w:basedOn w:val="645"/>
    <w:uiPriority w:val="0"/>
    <w:qFormat/>
    <w:pPr>
      <w:spacing w:after="0" w:line="240" w:lineRule="auto"/>
    </w:pPr>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style>
  <w:style w:type="table" w:styleId="805" w:customStyle="1">
    <w:name w:val="List Table 5 Dark - Accent 1"/>
    <w:basedOn w:val="645"/>
    <w:uiPriority w:val="0"/>
    <w:qFormat/>
    <w:pPr>
      <w:spacing w:after="0" w:line="240" w:lineRule="auto"/>
    </w:pPr>
    <w:rPr>
      <w:rFonts w:ascii="Times New Roman" w:hAnsi="Times New Roman" w:eastAsia="宋体" w:cs="Times New Roman"/>
    </w:rPr>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5B9BD5" w:sz="32" w:space="0"/>
          <w:right w:val="single" w:color="FFFFFF" w:sz="4" w:space="0"/>
          <w:insideH w:val="none" w:color="000000" w:sz="4" w:space="0"/>
          <w:insideV w:val="none" w:color="000000" w:sz="4" w:space="0"/>
        </w:tcBorders>
      </w:tcPr>
    </w:tblStylePr>
    <w:tblStylePr w:type="firstRow">
      <w:tcPr>
        <w:shd w:val="clear" w:color="5b9bd5" w:fill="5b9bd5"/>
        <w:tcBorders>
          <w:top w:val="single" w:color="5B9BD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5B9BD5" w:sz="32" w:space="0"/>
          <w:insideH w:val="none" w:color="000000" w:sz="4" w:space="0"/>
          <w:insideV w:val="none" w:color="000000" w:sz="4" w:space="0"/>
        </w:tcBorders>
      </w:tcPr>
    </w:tblStylePr>
  </w:style>
  <w:style w:type="table" w:styleId="806" w:customStyle="1">
    <w:name w:val="List Table 5 Dark - Accent 2"/>
    <w:basedOn w:val="645"/>
    <w:uiPriority w:val="0"/>
    <w:qFormat/>
    <w:pPr>
      <w:spacing w:after="0" w:line="240" w:lineRule="auto"/>
    </w:pPr>
    <w:rPr>
      <w:rFonts w:ascii="Times New Roman" w:hAnsi="Times New Roman" w:eastAsia="宋体" w:cs="Times New Roman"/>
    </w:rPr>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F4B285" w:sz="32" w:space="0"/>
          <w:right w:val="single" w:color="FFFFFF" w:sz="4" w:space="0"/>
          <w:insideH w:val="none" w:color="000000" w:sz="4" w:space="0"/>
          <w:insideV w:val="none" w:color="000000" w:sz="4" w:space="0"/>
        </w:tcBorders>
      </w:tcPr>
    </w:tblStylePr>
    <w:tblStylePr w:type="firstRow">
      <w:tcPr>
        <w:shd w:val="clear" w:color="f4b285" w:fill="f4b285"/>
        <w:tcBorders>
          <w:top w:val="single" w:color="F4B28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4B285" w:sz="32" w:space="0"/>
          <w:insideH w:val="none" w:color="000000" w:sz="4" w:space="0"/>
          <w:insideV w:val="none" w:color="000000" w:sz="4" w:space="0"/>
        </w:tcBorders>
      </w:tcPr>
    </w:tblStylePr>
  </w:style>
  <w:style w:type="table" w:styleId="807" w:customStyle="1">
    <w:name w:val="List Table 5 Dark - Accent 3"/>
    <w:basedOn w:val="645"/>
    <w:uiPriority w:val="0"/>
    <w:qFormat/>
    <w:pPr>
      <w:spacing w:after="0" w:line="240" w:lineRule="auto"/>
    </w:pPr>
    <w:rPr>
      <w:rFonts w:ascii="Times New Roman" w:hAnsi="Times New Roman" w:eastAsia="宋体" w:cs="Times New Roman"/>
    </w:r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C9C9C9" w:sz="32" w:space="0"/>
          <w:right w:val="single" w:color="FFFFFF" w:sz="4" w:space="0"/>
          <w:insideH w:val="none" w:color="000000" w:sz="4" w:space="0"/>
          <w:insideV w:val="none" w:color="000000" w:sz="4" w:space="0"/>
        </w:tcBorders>
      </w:tcPr>
    </w:tblStylePr>
    <w:tblStylePr w:type="firstRow">
      <w:tcPr>
        <w:shd w:val="clear" w:color="c9c9c9" w:fill="c9c9c9"/>
        <w:tcBorders>
          <w:top w:val="single" w:color="C9C9C9"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9C9C9" w:sz="32" w:space="0"/>
          <w:insideH w:val="none" w:color="000000" w:sz="4" w:space="0"/>
          <w:insideV w:val="none" w:color="000000" w:sz="4" w:space="0"/>
        </w:tcBorders>
      </w:tcPr>
    </w:tblStylePr>
  </w:style>
  <w:style w:type="table" w:styleId="808" w:customStyle="1">
    <w:name w:val="List Table 5 Dark - Accent 4"/>
    <w:basedOn w:val="645"/>
    <w:uiPriority w:val="0"/>
    <w:qFormat/>
    <w:pPr>
      <w:spacing w:after="0" w:line="240" w:lineRule="auto"/>
    </w:pPr>
    <w:rPr>
      <w:rFonts w:ascii="Times New Roman" w:hAnsi="Times New Roman" w:eastAsia="宋体" w:cs="Times New Roman"/>
    </w:rPr>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FFD864" w:sz="32" w:space="0"/>
          <w:right w:val="single" w:color="FFFFFF" w:sz="4" w:space="0"/>
          <w:insideH w:val="none" w:color="000000" w:sz="4" w:space="0"/>
          <w:insideV w:val="none" w:color="000000" w:sz="4" w:space="0"/>
        </w:tcBorders>
      </w:tcPr>
    </w:tblStylePr>
    <w:tblStylePr w:type="firstRow">
      <w:tcPr>
        <w:shd w:val="clear" w:color="ffd864" w:fill="ffd864"/>
        <w:tcBorders>
          <w:top w:val="single" w:color="FFD864"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FD864" w:sz="32" w:space="0"/>
          <w:insideH w:val="none" w:color="000000" w:sz="4" w:space="0"/>
          <w:insideV w:val="none" w:color="000000" w:sz="4" w:space="0"/>
        </w:tcBorders>
      </w:tcPr>
    </w:tblStylePr>
  </w:style>
  <w:style w:type="table" w:styleId="809" w:customStyle="1">
    <w:name w:val="List Table 5 Dark - Accent 5"/>
    <w:basedOn w:val="645"/>
    <w:uiPriority w:val="0"/>
    <w:qFormat/>
    <w:pPr>
      <w:spacing w:after="0" w:line="240" w:lineRule="auto"/>
    </w:pPr>
    <w:rPr>
      <w:rFonts w:ascii="Times New Roman" w:hAnsi="Times New Roman" w:eastAsia="宋体" w:cs="Times New Roman"/>
    </w:rPr>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8EA9DB" w:sz="32" w:space="0"/>
          <w:right w:val="single" w:color="FFFFFF" w:sz="4" w:space="0"/>
          <w:insideH w:val="none" w:color="000000" w:sz="4" w:space="0"/>
          <w:insideV w:val="none" w:color="000000" w:sz="4" w:space="0"/>
        </w:tcBorders>
      </w:tcPr>
    </w:tblStylePr>
    <w:tblStylePr w:type="firstRow">
      <w:tcPr>
        <w:shd w:val="clear" w:color="8ea9db" w:fill="8ea9db"/>
        <w:tcBorders>
          <w:top w:val="single" w:color="8EA9DB"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8EA9DB" w:sz="32" w:space="0"/>
          <w:insideH w:val="none" w:color="000000" w:sz="4" w:space="0"/>
          <w:insideV w:val="none" w:color="000000" w:sz="4" w:space="0"/>
        </w:tcBorders>
      </w:tcPr>
    </w:tblStylePr>
  </w:style>
  <w:style w:type="table" w:styleId="810" w:customStyle="1">
    <w:name w:val="List Table 5 Dark - Accent 6"/>
    <w:basedOn w:val="645"/>
    <w:uiPriority w:val="0"/>
    <w:qFormat/>
    <w:pPr>
      <w:spacing w:after="0" w:line="240" w:lineRule="auto"/>
    </w:pPr>
    <w:rPr>
      <w:rFonts w:ascii="Times New Roman" w:hAnsi="Times New Roman" w:eastAsia="宋体" w:cs="Times New Roman"/>
    </w:r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9D08E" w:sz="32" w:space="0"/>
          <w:right w:val="single" w:color="FFFFFF" w:sz="4" w:space="0"/>
          <w:insideH w:val="none" w:color="000000" w:sz="4" w:space="0"/>
          <w:insideV w:val="none" w:color="000000" w:sz="4" w:space="0"/>
        </w:tcBorders>
      </w:tcPr>
    </w:tblStylePr>
    <w:tblStylePr w:type="firstRow">
      <w:tcPr>
        <w:shd w:val="clear" w:color="a9d08e" w:fill="a9d08e"/>
        <w:tcBorders>
          <w:top w:val="single" w:color="A9D08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A9D08E" w:sz="32" w:space="0"/>
          <w:insideH w:val="none" w:color="000000" w:sz="4" w:space="0"/>
          <w:insideV w:val="none" w:color="000000" w:sz="4" w:space="0"/>
        </w:tcBorders>
      </w:tcPr>
    </w:tblStylePr>
  </w:style>
  <w:style w:type="table" w:styleId="811" w:customStyle="1">
    <w:name w:val="List Table 6 Colorful"/>
    <w:basedOn w:val="645"/>
    <w:uiPriority w:val="0"/>
    <w:qFormat/>
    <w:pPr>
      <w:spacing w:after="0" w:line="240" w:lineRule="auto"/>
    </w:pPr>
    <w:rPr>
      <w:rFonts w:ascii="Times New Roman" w:hAnsi="Times New Roman" w:eastAsia="宋体" w:cs="Times New Roman"/>
    </w:rPr>
    <w:tblPr>
      <w:tblBorders>
        <w:top w:val="single" w:color="7E7E7E" w:sz="4" w:space="0"/>
        <w:bottom w:val="single" w:color="7E7E7E" w:sz="4" w:space="0"/>
      </w:tblBorders>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List Table 6 Colorful - Accent 1"/>
    <w:basedOn w:val="645"/>
    <w:uiPriority w:val="0"/>
    <w:qFormat/>
    <w:pPr>
      <w:spacing w:after="0" w:line="240" w:lineRule="auto"/>
    </w:pPr>
    <w:rPr>
      <w:rFonts w:ascii="Times New Roman" w:hAnsi="Times New Roman" w:eastAsia="宋体" w:cs="Times New Roman"/>
    </w:rPr>
    <w:tblPr>
      <w:tblBorders>
        <w:top w:val="single" w:color="5B9BD5" w:sz="4" w:space="0"/>
        <w:bottom w:val="single" w:color="5B9BD5" w:sz="4" w:space="0"/>
      </w:tblBorders>
    </w:tblPr>
    <w:tblStylePr w:type="band1Horz">
      <w:tcPr>
        <w:shd w:val="clear" w:color="d5e5f4" w:fill="d5e5f4"/>
      </w:tcPr>
    </w:tblStylePr>
    <w:tblStylePr w:type="band1Vert">
      <w:tcPr>
        <w:shd w:val="clear" w:color="d5e5f4" w:fill="d5e5f4"/>
      </w:tcPr>
    </w:tblStylePr>
    <w:tblStylePr w:type="firstRow">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List Table 6 Colorful - Accent 2"/>
    <w:basedOn w:val="645"/>
    <w:uiPriority w:val="0"/>
    <w:qFormat/>
    <w:pPr>
      <w:spacing w:after="0" w:line="240" w:lineRule="auto"/>
    </w:pPr>
    <w:rPr>
      <w:rFonts w:ascii="Times New Roman" w:hAnsi="Times New Roman" w:eastAsia="宋体" w:cs="Times New Roman"/>
    </w:rPr>
    <w:tblPr>
      <w:tblBorders>
        <w:top w:val="single" w:color="F4B285" w:sz="4" w:space="0"/>
        <w:bottom w:val="single" w:color="F4B285" w:sz="4" w:space="0"/>
      </w:tblBorders>
    </w:tblPr>
    <w:tblStylePr w:type="band1Horz">
      <w:tcPr>
        <w:shd w:val="clear" w:color="fadecb" w:fill="fadecb"/>
      </w:tcPr>
    </w:tblStylePr>
    <w:tblStylePr w:type="band1Vert">
      <w:tcPr>
        <w:shd w:val="clear" w:color="fadecb" w:fill="fadecb"/>
      </w:tcPr>
    </w:tblStylePr>
    <w:tblStylePr w:type="firstRow">
      <w:tcPr>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6 Colorful - Accent 3"/>
    <w:basedOn w:val="645"/>
    <w:uiPriority w:val="0"/>
    <w:qFormat/>
    <w:pPr>
      <w:spacing w:after="0" w:line="240" w:lineRule="auto"/>
    </w:pPr>
    <w:rPr>
      <w:rFonts w:ascii="Times New Roman" w:hAnsi="Times New Roman" w:eastAsia="宋体" w:cs="Times New Roman"/>
    </w:rPr>
    <w:tblPr>
      <w:tblBorders>
        <w:top w:val="single" w:color="C9C9C9" w:sz="4" w:space="0"/>
        <w:bottom w:val="single" w:color="C9C9C9" w:sz="4" w:space="0"/>
      </w:tblBorders>
    </w:tblPr>
    <w:tblStylePr w:type="band1Horz">
      <w:tcPr>
        <w:shd w:val="clear" w:color="e8e8e8" w:fill="e8e8e8"/>
      </w:tcPr>
    </w:tblStylePr>
    <w:tblStylePr w:type="band1Vert">
      <w:tcPr>
        <w:shd w:val="clear" w:color="e8e8e8" w:fill="e8e8e8"/>
      </w:tcPr>
    </w:tblStylePr>
    <w:tblStylePr w:type="firstRow">
      <w:tcPr>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6 Colorful - Accent 4"/>
    <w:basedOn w:val="645"/>
    <w:uiPriority w:val="0"/>
    <w:qFormat/>
    <w:pPr>
      <w:spacing w:after="0" w:line="240" w:lineRule="auto"/>
    </w:pPr>
    <w:rPr>
      <w:rFonts w:ascii="Times New Roman" w:hAnsi="Times New Roman" w:eastAsia="宋体" w:cs="Times New Roman"/>
    </w:rPr>
    <w:tblPr>
      <w:tblBorders>
        <w:top w:val="single" w:color="FFD864" w:sz="4" w:space="0"/>
        <w:bottom w:val="single" w:color="FFD864" w:sz="4" w:space="0"/>
      </w:tblBorders>
    </w:tblPr>
    <w:tblStylePr w:type="band1Horz">
      <w:tcPr>
        <w:shd w:val="clear" w:color="ffefbe" w:fill="ffefbe"/>
      </w:tcPr>
    </w:tblStylePr>
    <w:tblStylePr w:type="band1Vert">
      <w:tcPr>
        <w:shd w:val="clear" w:color="ffefbe" w:fill="ffefbe"/>
      </w:tcPr>
    </w:tblStylePr>
    <w:tblStylePr w:type="firstRow">
      <w:tcPr>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6 Colorful - Accent 5"/>
    <w:basedOn w:val="645"/>
    <w:uiPriority w:val="0"/>
    <w:qFormat/>
    <w:pPr>
      <w:spacing w:after="0" w:line="240" w:lineRule="auto"/>
    </w:pPr>
    <w:rPr>
      <w:rFonts w:ascii="Times New Roman" w:hAnsi="Times New Roman" w:eastAsia="宋体" w:cs="Times New Roman"/>
    </w:rPr>
    <w:tblPr>
      <w:tblBorders>
        <w:top w:val="single" w:color="8EA9DB" w:sz="4" w:space="0"/>
        <w:bottom w:val="single" w:color="8EA9DB" w:sz="4" w:space="0"/>
      </w:tblBorders>
    </w:tblPr>
    <w:tblStylePr w:type="band1Horz">
      <w:tcPr>
        <w:shd w:val="clear" w:color="d0dbf0" w:fill="d0dbf0"/>
      </w:tcPr>
    </w:tblStylePr>
    <w:tblStylePr w:type="band1Vert">
      <w:tcPr>
        <w:shd w:val="clear" w:color="d0dbf0" w:fill="d0dbf0"/>
      </w:tcPr>
    </w:tblStylePr>
    <w:tblStylePr w:type="firstRow">
      <w:tcPr>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6 Colorful - Accent 6"/>
    <w:basedOn w:val="645"/>
    <w:uiPriority w:val="0"/>
    <w:qFormat/>
    <w:pPr>
      <w:spacing w:after="0" w:line="240" w:lineRule="auto"/>
    </w:pPr>
    <w:rPr>
      <w:rFonts w:ascii="Times New Roman" w:hAnsi="Times New Roman" w:eastAsia="宋体" w:cs="Times New Roman"/>
    </w:rPr>
    <w:tblPr>
      <w:tblBorders>
        <w:top w:val="single" w:color="A9D08E" w:sz="4" w:space="0"/>
        <w:bottom w:val="single" w:color="A9D08E" w:sz="4" w:space="0"/>
      </w:tblBorders>
    </w:tblPr>
    <w:tblStylePr w:type="band1Horz">
      <w:tcPr>
        <w:shd w:val="clear" w:color="daebcf" w:fill="daebcf"/>
      </w:tcPr>
    </w:tblStylePr>
    <w:tblStylePr w:type="band1Vert">
      <w:tcPr>
        <w:shd w:val="clear" w:color="daebcf" w:fill="daebcf"/>
      </w:tcPr>
    </w:tblStylePr>
    <w:tblStylePr w:type="firstRow">
      <w:tcPr>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7 Colorful"/>
    <w:basedOn w:val="645"/>
    <w:uiPriority w:val="0"/>
    <w:qFormat/>
    <w:pPr>
      <w:spacing w:after="0" w:line="240" w:lineRule="auto"/>
    </w:pPr>
    <w:rPr>
      <w:rFonts w:ascii="Times New Roman" w:hAnsi="Times New Roman" w:eastAsia="宋体" w:cs="Times New Roman"/>
    </w:rPr>
    <w:tblPr>
      <w:tblBorders>
        <w:right w:val="single" w:color="7E7E7E" w:sz="4" w:space="0"/>
      </w:tblBorders>
    </w:tblPr>
    <w:tblStylePr w:type="band1Horz">
      <w:tcPr>
        <w:shd w:val="clear" w:color="bebebe" w:fill="bebebe"/>
      </w:tcPr>
    </w:tblStylePr>
    <w:tblStylePr w:type="band1Vert">
      <w:tcPr>
        <w:shd w:val="clear" w:color="bebebe" w:fill="bebebe"/>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7 Colorful - Accent 1"/>
    <w:basedOn w:val="645"/>
    <w:uiPriority w:val="0"/>
    <w:qFormat/>
    <w:pPr>
      <w:spacing w:after="0" w:line="240" w:lineRule="auto"/>
    </w:pPr>
    <w:rPr>
      <w:rFonts w:ascii="Times New Roman" w:hAnsi="Times New Roman" w:eastAsia="宋体" w:cs="Times New Roman"/>
    </w:rPr>
    <w:tblPr>
      <w:tblBorders>
        <w:right w:val="single" w:color="5B9BD5" w:sz="4" w:space="0"/>
      </w:tblBorders>
    </w:tblPr>
    <w:tblStylePr w:type="band1Horz">
      <w:tcPr>
        <w:shd w:val="clear" w:color="d5e5f4" w:fill="d5e5f4"/>
      </w:tcPr>
    </w:tblStylePr>
    <w:tblStylePr w:type="band1Vert">
      <w:tcPr>
        <w:shd w:val="clear" w:color="d5e5f4" w:fill="d5e5f4"/>
      </w:tcPr>
    </w:tblStylePr>
    <w:tblStylePr w:type="firstCol">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tcPr>
        <w:shd w:val="clear" w:color="ffffff" w:fill="ffffff"/>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Row">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7 Colorful - Accent 2"/>
    <w:basedOn w:val="645"/>
    <w:uiPriority w:val="0"/>
    <w:qFormat/>
    <w:pPr>
      <w:spacing w:after="0" w:line="240" w:lineRule="auto"/>
    </w:pPr>
    <w:rPr>
      <w:rFonts w:ascii="Times New Roman" w:hAnsi="Times New Roman" w:eastAsia="宋体" w:cs="Times New Roman"/>
    </w:rPr>
    <w:tblPr>
      <w:tblBorders>
        <w:right w:val="single" w:color="F4B285" w:sz="4" w:space="0"/>
      </w:tblBorders>
    </w:tblPr>
    <w:tblStylePr w:type="band1Horz">
      <w:tcPr>
        <w:shd w:val="clear" w:color="fadecb" w:fill="fadecb"/>
      </w:tcPr>
    </w:tblStylePr>
    <w:tblStylePr w:type="band1Vert">
      <w:tcPr>
        <w:shd w:val="clear" w:color="fadecb" w:fill="fadecb"/>
      </w:tcPr>
    </w:tblStylePr>
    <w:tblStylePr w:type="firstCol">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7 Colorful - Accent 3"/>
    <w:basedOn w:val="645"/>
    <w:uiPriority w:val="0"/>
    <w:qFormat/>
    <w:pPr>
      <w:spacing w:after="0" w:line="240" w:lineRule="auto"/>
    </w:pPr>
    <w:rPr>
      <w:rFonts w:ascii="Times New Roman" w:hAnsi="Times New Roman" w:eastAsia="宋体" w:cs="Times New Roman"/>
    </w:rPr>
    <w:tblPr>
      <w:tblBorders>
        <w:right w:val="single" w:color="C9C9C9" w:sz="4" w:space="0"/>
      </w:tblBorders>
    </w:tblPr>
    <w:tblStylePr w:type="band1Horz">
      <w:tcPr>
        <w:shd w:val="clear" w:color="e8e8e8" w:fill="e8e8e8"/>
      </w:tcPr>
    </w:tblStylePr>
    <w:tblStylePr w:type="band1Vert">
      <w:tcPr>
        <w:shd w:val="clear" w:color="e8e8e8" w:fill="e8e8e8"/>
      </w:tcPr>
    </w:tblStylePr>
    <w:tblStylePr w:type="firstCol">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tcPr>
        <w:shd w:val="clear" w:color="ffffff" w:fill="ffffff"/>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Row">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7 Colorful - Accent 4"/>
    <w:basedOn w:val="645"/>
    <w:uiPriority w:val="0"/>
    <w:qFormat/>
    <w:pPr>
      <w:spacing w:after="0" w:line="240" w:lineRule="auto"/>
    </w:pPr>
    <w:rPr>
      <w:rFonts w:ascii="Times New Roman" w:hAnsi="Times New Roman" w:eastAsia="宋体" w:cs="Times New Roman"/>
    </w:rPr>
    <w:tblPr>
      <w:tblBorders>
        <w:right w:val="single" w:color="FFD864" w:sz="4" w:space="0"/>
      </w:tblBorders>
    </w:tblPr>
    <w:tblStylePr w:type="band1Horz">
      <w:tcPr>
        <w:shd w:val="clear" w:color="ffefbe" w:fill="ffefbe"/>
      </w:tcPr>
    </w:tblStylePr>
    <w:tblStylePr w:type="band1Vert">
      <w:tcPr>
        <w:shd w:val="clear" w:color="ffefbe" w:fill="ffefbe"/>
      </w:tcPr>
    </w:tblStylePr>
    <w:tblStylePr w:type="firstCol">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7 Colorful - Accent 5"/>
    <w:basedOn w:val="645"/>
    <w:uiPriority w:val="0"/>
    <w:qFormat/>
    <w:pPr>
      <w:spacing w:after="0" w:line="240" w:lineRule="auto"/>
    </w:pPr>
    <w:rPr>
      <w:rFonts w:ascii="Times New Roman" w:hAnsi="Times New Roman" w:eastAsia="宋体" w:cs="Times New Roman"/>
    </w:rPr>
    <w:tblPr>
      <w:tblBorders>
        <w:right w:val="single" w:color="8EA9DB" w:sz="4" w:space="0"/>
      </w:tblBorders>
    </w:tblPr>
    <w:tblStylePr w:type="band1Horz">
      <w:tcPr>
        <w:shd w:val="clear" w:color="d0dbf0" w:fill="d0dbf0"/>
      </w:tcPr>
    </w:tblStylePr>
    <w:tblStylePr w:type="band1Vert">
      <w:tcPr>
        <w:shd w:val="clear" w:color="d0dbf0" w:fill="d0dbf0"/>
      </w:tcPr>
    </w:tblStylePr>
    <w:tblStylePr w:type="firstCol">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tcPr>
        <w:shd w:val="clear" w:color="ffffff" w:fill="ffffff"/>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Row">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7 Colorful - Accent 6"/>
    <w:basedOn w:val="645"/>
    <w:uiPriority w:val="0"/>
    <w:qFormat/>
    <w:pPr>
      <w:spacing w:after="0" w:line="240" w:lineRule="auto"/>
    </w:pPr>
    <w:rPr>
      <w:rFonts w:ascii="Times New Roman" w:hAnsi="Times New Roman" w:eastAsia="宋体" w:cs="Times New Roman"/>
    </w:rPr>
    <w:tblPr>
      <w:tblBorders>
        <w:right w:val="single" w:color="A9D08E" w:sz="4" w:space="0"/>
      </w:tblBorders>
    </w:tblPr>
    <w:tblStylePr w:type="band1Horz">
      <w:tcPr>
        <w:shd w:val="clear" w:color="daebcf" w:fill="daebcf"/>
      </w:tcPr>
    </w:tblStylePr>
    <w:tblStylePr w:type="band1Vert">
      <w:tcPr>
        <w:shd w:val="clear" w:color="daebcf" w:fill="daebcf"/>
      </w:tcPr>
    </w:tblStylePr>
    <w:tblStylePr w:type="firstCol">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tcPr>
        <w:shd w:val="clear" w:color="ffffff" w:fill="ffffff"/>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Row">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Lined - Accent"/>
    <w:basedOn w:val="645"/>
    <w:uiPriority w:val="0"/>
    <w:qFormat/>
    <w:pPr>
      <w:spacing w:after="0" w:line="240" w:lineRule="auto"/>
    </w:pPr>
    <w:rPr>
      <w:rFonts w:ascii="Times New Roman" w:hAnsi="Times New Roman" w:eastAsia="宋体" w:cs="Times New Roman"/>
      <w:color w:val="404040"/>
    </w:rPr>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26" w:customStyle="1">
    <w:name w:val="Lined - Accent 1"/>
    <w:basedOn w:val="645"/>
    <w:uiPriority w:val="0"/>
    <w:qFormat/>
    <w:pPr>
      <w:spacing w:after="0" w:line="240" w:lineRule="auto"/>
    </w:pPr>
    <w:rPr>
      <w:rFonts w:ascii="Times New Roman" w:hAnsi="Times New Roman" w:eastAsia="宋体" w:cs="Times New Roman"/>
      <w:color w:val="404040"/>
    </w:rPr>
    <w:tblPr/>
    <w:tblStylePr w:type="band2Horz">
      <w:tcPr>
        <w:shd w:val="clear" w:color="cbdff1" w:fill="cbdff1"/>
      </w:tcPr>
    </w:tblStylePr>
    <w:tblStylePr w:type="band2Vert">
      <w:tcPr>
        <w:shd w:val="clear" w:color="cbdff1" w:fill="cbdff1"/>
      </w:tcPr>
    </w:tblStylePr>
    <w:tblStylePr w:type="firstCol">
      <w:tcPr>
        <w:shd w:val="clear" w:color="68a3d8" w:fill="68a3d8"/>
      </w:tcPr>
    </w:tblStylePr>
    <w:tblStylePr w:type="firstRow">
      <w:tcPr>
        <w:shd w:val="clear" w:color="68a3d8" w:fill="68a3d8"/>
      </w:tcPr>
    </w:tblStylePr>
    <w:tblStylePr w:type="lastCol">
      <w:tcPr>
        <w:shd w:val="clear" w:color="68a3d8" w:fill="68a3d8"/>
      </w:tcPr>
    </w:tblStylePr>
    <w:tblStylePr w:type="lastRow">
      <w:tcPr>
        <w:shd w:val="clear" w:color="68a3d8" w:fill="68a3d8"/>
      </w:tcPr>
    </w:tblStylePr>
  </w:style>
  <w:style w:type="table" w:styleId="827" w:customStyle="1">
    <w:name w:val="Lined - Accent 2"/>
    <w:basedOn w:val="645"/>
    <w:uiPriority w:val="0"/>
    <w:qFormat/>
    <w:pPr>
      <w:spacing w:after="0" w:line="240" w:lineRule="auto"/>
    </w:pPr>
    <w:rPr>
      <w:rFonts w:ascii="Times New Roman" w:hAnsi="Times New Roman" w:eastAsia="宋体" w:cs="Times New Roman"/>
      <w:color w:val="404040"/>
    </w:rPr>
    <w:tblPr/>
    <w:tblStylePr w:type="band2Horz">
      <w:tcPr>
        <w:shd w:val="clear" w:color="fbe5d6" w:fill="fbe5d6"/>
      </w:tcPr>
    </w:tblStylePr>
    <w:tblStylePr w:type="band2Vert">
      <w:tcPr>
        <w:shd w:val="clear" w:color="fbe5d6" w:fill="fbe5d6"/>
      </w:tcPr>
    </w:tblStylePr>
    <w:tblStylePr w:type="firstCol">
      <w:tcPr>
        <w:shd w:val="clear" w:color="f4b285" w:fill="f4b285"/>
      </w:tcPr>
    </w:tblStylePr>
    <w:tblStylePr w:type="firstRow">
      <w:tcPr>
        <w:shd w:val="clear" w:color="f4b285" w:fill="f4b285"/>
      </w:tcPr>
    </w:tblStylePr>
    <w:tblStylePr w:type="lastCol">
      <w:tcPr>
        <w:shd w:val="clear" w:color="f4b285" w:fill="f4b285"/>
      </w:tcPr>
    </w:tblStylePr>
    <w:tblStylePr w:type="lastRow">
      <w:tcPr>
        <w:shd w:val="clear" w:color="f4b285" w:fill="f4b285"/>
      </w:tcPr>
    </w:tblStylePr>
  </w:style>
  <w:style w:type="table" w:styleId="828" w:customStyle="1">
    <w:name w:val="Lined - Accent 3"/>
    <w:basedOn w:val="645"/>
    <w:uiPriority w:val="0"/>
    <w:qFormat/>
    <w:pPr>
      <w:spacing w:after="0" w:line="240" w:lineRule="auto"/>
    </w:pPr>
    <w:rPr>
      <w:rFonts w:ascii="Times New Roman" w:hAnsi="Times New Roman" w:eastAsia="宋体" w:cs="Times New Roman"/>
      <w:color w:val="404040"/>
    </w:rPr>
    <w:tblPr/>
    <w:tblStylePr w:type="band2Horz">
      <w:tcPr>
        <w:shd w:val="clear" w:color="ececec" w:fill="ececec"/>
      </w:tcPr>
    </w:tblStylePr>
    <w:tblStylePr w:type="band2Vert">
      <w:tcPr>
        <w:shd w:val="clear" w:color="ececec" w:fill="ececec"/>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Pr>
    </w:tblStylePr>
  </w:style>
  <w:style w:type="table" w:styleId="829" w:customStyle="1">
    <w:name w:val="Lined - Accent 4"/>
    <w:basedOn w:val="645"/>
    <w:uiPriority w:val="0"/>
    <w:qFormat/>
    <w:pPr>
      <w:spacing w:after="0" w:line="240" w:lineRule="auto"/>
    </w:pPr>
    <w:rPr>
      <w:rFonts w:ascii="Times New Roman" w:hAnsi="Times New Roman" w:eastAsia="宋体" w:cs="Times New Roman"/>
      <w:color w:val="404040"/>
    </w:rPr>
    <w:tblPr/>
    <w:tblStylePr w:type="band2Horz">
      <w:tcPr>
        <w:shd w:val="clear" w:color="fef2ca" w:fill="fef2ca"/>
      </w:tcPr>
    </w:tblStylePr>
    <w:tblStylePr w:type="band2Vert">
      <w:tcPr>
        <w:shd w:val="clear" w:color="fef2ca" w:fill="fef2ca"/>
      </w:tcPr>
    </w:tblStylePr>
    <w:tblStylePr w:type="firstCol">
      <w:tcPr>
        <w:shd w:val="clear" w:color="ffd864" w:fill="ffd864"/>
      </w:tcPr>
    </w:tblStylePr>
    <w:tblStylePr w:type="firstRow">
      <w:tcPr>
        <w:shd w:val="clear" w:color="ffd864" w:fill="ffd864"/>
      </w:tcPr>
    </w:tblStylePr>
    <w:tblStylePr w:type="lastCol">
      <w:tcPr>
        <w:shd w:val="clear" w:color="ffd864" w:fill="ffd864"/>
      </w:tcPr>
    </w:tblStylePr>
    <w:tblStylePr w:type="lastRow">
      <w:tcPr>
        <w:shd w:val="clear" w:color="ffd864" w:fill="ffd864"/>
      </w:tcPr>
    </w:tblStylePr>
  </w:style>
  <w:style w:type="table" w:styleId="830" w:customStyle="1">
    <w:name w:val="Lined - Accent 5"/>
    <w:basedOn w:val="645"/>
    <w:uiPriority w:val="0"/>
    <w:qFormat/>
    <w:pPr>
      <w:spacing w:after="0" w:line="240" w:lineRule="auto"/>
    </w:pPr>
    <w:rPr>
      <w:rFonts w:ascii="Times New Roman" w:hAnsi="Times New Roman" w:eastAsia="宋体" w:cs="Times New Roman"/>
      <w:color w:val="404040"/>
    </w:rPr>
    <w:tblPr/>
    <w:tblStylePr w:type="band2Horz">
      <w:tcPr>
        <w:shd w:val="clear" w:color="d8e2f2" w:fill="d8e2f2"/>
      </w:tcPr>
    </w:tblStylePr>
    <w:tblStylePr w:type="band2Vert">
      <w:tcPr>
        <w:shd w:val="clear" w:color="d8e2f2" w:fill="d8e2f2"/>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Pr>
    </w:tblStylePr>
  </w:style>
  <w:style w:type="table" w:styleId="831" w:customStyle="1">
    <w:name w:val="Lined - Accent 6"/>
    <w:basedOn w:val="645"/>
    <w:uiPriority w:val="0"/>
    <w:qFormat/>
    <w:pPr>
      <w:spacing w:after="0" w:line="240" w:lineRule="auto"/>
    </w:pPr>
    <w:rPr>
      <w:rFonts w:ascii="Times New Roman" w:hAnsi="Times New Roman" w:eastAsia="宋体" w:cs="Times New Roman"/>
      <w:color w:val="404040"/>
    </w:rPr>
    <w:tblPr/>
    <w:tblStylePr w:type="band2Horz">
      <w:tcPr>
        <w:shd w:val="clear" w:color="e1efd8" w:fill="e1efd8"/>
      </w:tcPr>
    </w:tblStylePr>
    <w:tblStylePr w:type="band2Vert">
      <w:tcPr>
        <w:shd w:val="clear" w:color="e1efd8" w:fill="e1efd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Pr>
    </w:tblStylePr>
  </w:style>
  <w:style w:type="table" w:styleId="832" w:customStyle="1">
    <w:name w:val="Bordered &amp; Lined - Accent"/>
    <w:basedOn w:val="645"/>
    <w:uiPriority w:val="0"/>
    <w:qFormat/>
    <w:pPr>
      <w:spacing w:after="0" w:line="240" w:lineRule="auto"/>
    </w:pPr>
    <w:rPr>
      <w:rFonts w:ascii="Times New Roman" w:hAnsi="Times New Roman" w:eastAsia="宋体" w:cs="Times New Roman"/>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33" w:customStyle="1">
    <w:name w:val="Bordered &amp; Lined - Accent 1"/>
    <w:basedOn w:val="645"/>
    <w:uiPriority w:val="0"/>
    <w:qFormat/>
    <w:pPr>
      <w:spacing w:after="0" w:line="240" w:lineRule="auto"/>
    </w:pPr>
    <w:rPr>
      <w:rFonts w:ascii="Times New Roman" w:hAnsi="Times New Roman" w:eastAsia="宋体" w:cs="Times New Roman"/>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2Horz">
      <w:tcPr>
        <w:shd w:val="clear" w:color="cbdff1" w:fill="cbdff1"/>
      </w:tcPr>
    </w:tblStylePr>
    <w:tblStylePr w:type="band2Vert">
      <w:tcPr>
        <w:shd w:val="clear" w:color="cbdff1" w:fill="cbdff1"/>
      </w:tcPr>
    </w:tblStylePr>
    <w:tblStylePr w:type="firstCol">
      <w:tcPr>
        <w:shd w:val="clear" w:color="68a3d8" w:fill="68a3d8"/>
      </w:tcPr>
    </w:tblStylePr>
    <w:tblStylePr w:type="firstRow">
      <w:tcPr>
        <w:shd w:val="clear" w:color="68a3d8" w:fill="68a3d8"/>
      </w:tcPr>
    </w:tblStylePr>
    <w:tblStylePr w:type="lastCol">
      <w:tcPr>
        <w:shd w:val="clear" w:color="68a3d8" w:fill="68a3d8"/>
      </w:tcPr>
    </w:tblStylePr>
    <w:tblStylePr w:type="lastRow">
      <w:tcPr>
        <w:shd w:val="clear" w:color="68a3d8" w:fill="68a3d8"/>
      </w:tcPr>
    </w:tblStylePr>
  </w:style>
  <w:style w:type="table" w:styleId="834" w:customStyle="1">
    <w:name w:val="Bordered &amp; Lined - Accent 2"/>
    <w:basedOn w:val="645"/>
    <w:uiPriority w:val="0"/>
    <w:qFormat/>
    <w:pPr>
      <w:spacing w:after="0" w:line="240" w:lineRule="auto"/>
    </w:pPr>
    <w:rPr>
      <w:rFonts w:ascii="Times New Roman" w:hAnsi="Times New Roman" w:eastAsia="宋体" w:cs="Times New Roman"/>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2Horz">
      <w:tcPr>
        <w:shd w:val="clear" w:color="fbe5d6" w:fill="fbe5d6"/>
      </w:tcPr>
    </w:tblStylePr>
    <w:tblStylePr w:type="band2Vert">
      <w:tcPr>
        <w:shd w:val="clear" w:color="fbe5d6" w:fill="fbe5d6"/>
      </w:tcPr>
    </w:tblStylePr>
    <w:tblStylePr w:type="firstCol">
      <w:tcPr>
        <w:shd w:val="clear" w:color="f4b285" w:fill="f4b285"/>
      </w:tcPr>
    </w:tblStylePr>
    <w:tblStylePr w:type="firstRow">
      <w:tcPr>
        <w:shd w:val="clear" w:color="f4b285" w:fill="f4b285"/>
      </w:tcPr>
    </w:tblStylePr>
    <w:tblStylePr w:type="lastCol">
      <w:tcPr>
        <w:shd w:val="clear" w:color="f4b285" w:fill="f4b285"/>
      </w:tcPr>
    </w:tblStylePr>
    <w:tblStylePr w:type="lastRow">
      <w:tcPr>
        <w:shd w:val="clear" w:color="f4b285" w:fill="f4b285"/>
      </w:tcPr>
    </w:tblStylePr>
  </w:style>
  <w:style w:type="table" w:styleId="835" w:customStyle="1">
    <w:name w:val="Bordered &amp; Lined - Accent 3"/>
    <w:basedOn w:val="645"/>
    <w:uiPriority w:val="0"/>
    <w:qFormat/>
    <w:pPr>
      <w:spacing w:after="0" w:line="240" w:lineRule="auto"/>
    </w:pPr>
    <w:rPr>
      <w:rFonts w:ascii="Times New Roman" w:hAnsi="Times New Roman" w:eastAsia="宋体" w:cs="Times New Roman"/>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2Horz">
      <w:tcPr>
        <w:shd w:val="clear" w:color="ececec" w:fill="ececec"/>
      </w:tcPr>
    </w:tblStylePr>
    <w:tblStylePr w:type="band2Vert">
      <w:tcPr>
        <w:shd w:val="clear" w:color="ececec" w:fill="ececec"/>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Pr>
    </w:tblStylePr>
  </w:style>
  <w:style w:type="table" w:styleId="836" w:customStyle="1">
    <w:name w:val="Bordered &amp; Lined - Accent 4"/>
    <w:basedOn w:val="645"/>
    <w:uiPriority w:val="0"/>
    <w:qFormat/>
    <w:pPr>
      <w:spacing w:after="0" w:line="240" w:lineRule="auto"/>
    </w:pPr>
    <w:rPr>
      <w:rFonts w:ascii="Times New Roman" w:hAnsi="Times New Roman" w:eastAsia="宋体" w:cs="Times New Roman"/>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2Horz">
      <w:tcPr>
        <w:shd w:val="clear" w:color="fef2ca" w:fill="fef2ca"/>
      </w:tcPr>
    </w:tblStylePr>
    <w:tblStylePr w:type="band2Vert">
      <w:tcPr>
        <w:shd w:val="clear" w:color="fef2ca" w:fill="fef2ca"/>
      </w:tcPr>
    </w:tblStylePr>
    <w:tblStylePr w:type="firstCol">
      <w:tcPr>
        <w:shd w:val="clear" w:color="ffd864" w:fill="ffd864"/>
      </w:tcPr>
    </w:tblStylePr>
    <w:tblStylePr w:type="firstRow">
      <w:tcPr>
        <w:shd w:val="clear" w:color="ffd864" w:fill="ffd864"/>
      </w:tcPr>
    </w:tblStylePr>
    <w:tblStylePr w:type="lastCol">
      <w:tcPr>
        <w:shd w:val="clear" w:color="ffd864" w:fill="ffd864"/>
      </w:tcPr>
    </w:tblStylePr>
    <w:tblStylePr w:type="lastRow">
      <w:tcPr>
        <w:shd w:val="clear" w:color="ffd864" w:fill="ffd864"/>
      </w:tcPr>
    </w:tblStylePr>
  </w:style>
  <w:style w:type="table" w:styleId="837" w:customStyle="1">
    <w:name w:val="Bordered &amp; Lined - Accent 5"/>
    <w:basedOn w:val="645"/>
    <w:uiPriority w:val="0"/>
    <w:qFormat/>
    <w:pPr>
      <w:spacing w:after="0" w:line="240" w:lineRule="auto"/>
    </w:pPr>
    <w:rPr>
      <w:rFonts w:ascii="Times New Roman" w:hAnsi="Times New Roman" w:eastAsia="宋体" w:cs="Times New Roman"/>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2Horz">
      <w:tcPr>
        <w:shd w:val="clear" w:color="d8e2f2" w:fill="d8e2f2"/>
      </w:tcPr>
    </w:tblStylePr>
    <w:tblStylePr w:type="band2Vert">
      <w:tcPr>
        <w:shd w:val="clear" w:color="d8e2f2" w:fill="d8e2f2"/>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Pr>
    </w:tblStylePr>
  </w:style>
  <w:style w:type="table" w:styleId="838" w:customStyle="1">
    <w:name w:val="Bordered &amp; Lined - Accent 6"/>
    <w:basedOn w:val="645"/>
    <w:uiPriority w:val="0"/>
    <w:qFormat/>
    <w:pPr>
      <w:spacing w:after="0" w:line="240" w:lineRule="auto"/>
    </w:pPr>
    <w:rPr>
      <w:rFonts w:ascii="Times New Roman" w:hAnsi="Times New Roman" w:eastAsia="宋体" w:cs="Times New Roman"/>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2Horz">
      <w:tcPr>
        <w:shd w:val="clear" w:color="e1efd8" w:fill="e1efd8"/>
      </w:tcPr>
    </w:tblStylePr>
    <w:tblStylePr w:type="band2Vert">
      <w:tcPr>
        <w:shd w:val="clear" w:color="e1efd8" w:fill="e1efd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Pr>
    </w:tblStylePr>
  </w:style>
  <w:style w:type="table" w:styleId="839" w:customStyle="1">
    <w:name w:val="Bordered"/>
    <w:basedOn w:val="645"/>
    <w:uiPriority w:val="0"/>
    <w:qFormat/>
    <w:pPr>
      <w:spacing w:after="0" w:line="240" w:lineRule="auto"/>
    </w:pPr>
    <w:rPr>
      <w:rFonts w:ascii="Times New Roman" w:hAnsi="Times New Roman" w:eastAsia="宋体" w:cs="Times New Roman"/>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Bordered - Accent 1"/>
    <w:basedOn w:val="645"/>
    <w:uiPriority w:val="0"/>
    <w:qFormat/>
    <w:pPr>
      <w:spacing w:after="0" w:line="240" w:lineRule="auto"/>
    </w:pPr>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Row">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Row">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Bordered - Accent 2"/>
    <w:basedOn w:val="645"/>
    <w:uiPriority w:val="0"/>
    <w:qFormat/>
    <w:pPr>
      <w:spacing w:after="0" w:line="240" w:lineRule="auto"/>
    </w:pPr>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Row">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Row">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Bordered - Accent 3"/>
    <w:basedOn w:val="645"/>
    <w:uiPriority w:val="0"/>
    <w:qFormat/>
    <w:pPr>
      <w:spacing w:after="0" w:line="240" w:lineRule="auto"/>
    </w:pPr>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Row">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Row">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Bordered - Accent 4"/>
    <w:basedOn w:val="645"/>
    <w:uiPriority w:val="0"/>
    <w:qFormat/>
    <w:pPr>
      <w:spacing w:after="0" w:line="240" w:lineRule="auto"/>
    </w:pPr>
    <w:rPr>
      <w:rFonts w:ascii="Times New Roman" w:hAnsi="Times New Roman" w:eastAsia="宋体" w:cs="Times New Roman"/>
    </w:r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Row">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Row">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Bordered - Accent 5"/>
    <w:basedOn w:val="645"/>
    <w:uiPriority w:val="0"/>
    <w:qFormat/>
    <w:pPr>
      <w:spacing w:after="0" w:line="240" w:lineRule="auto"/>
    </w:pPr>
    <w:rPr>
      <w:rFonts w:ascii="Times New Roman" w:hAnsi="Times New Roman" w:eastAsia="宋体" w:cs="Times New Roman"/>
    </w:r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Row">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Row">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Bordered - Accent 6"/>
    <w:basedOn w:val="645"/>
    <w:uiPriority w:val="0"/>
    <w:qFormat/>
    <w:pPr>
      <w:spacing w:after="0" w:line="240" w:lineRule="auto"/>
    </w:pPr>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Row">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Row">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46" w:customStyle="1">
    <w:name w:val="TOC Heading_896fdbc1-233e-4be8-9400-2c907556909b"/>
    <w:uiPriority w:val="0"/>
    <w:qFormat/>
    <w:rPr>
      <w:rFonts w:hint="default" w:ascii="Times New Roman" w:hAnsi="Times New Roman" w:eastAsia="宋体" w:cs="Times New Roman"/>
    </w:rPr>
  </w:style>
  <w:style w:type="table" w:styleId="847" w:customStyle="1">
    <w:name w:val="三线表"/>
    <w:basedOn w:val="645"/>
    <w:uiPriority w:val="0"/>
    <w:qFormat/>
    <w:rPr>
      <w:rFonts w:ascii="Times New Roman" w:hAnsi="Times New Roman" w:eastAsia="宋体" w:cs="Times New Roman"/>
    </w:rPr>
    <w:tblPr>
      <w:tblBorders>
        <w:top w:val="single" w:color="000000" w:sz="12" w:space="0"/>
        <w:bottom w:val="single" w:color="000000" w:sz="12" w:space="0"/>
      </w:tblBorders>
      <w:tblCellMar>
        <w:left w:w="108" w:type="dxa"/>
        <w:top w:w="0" w:type="dxa"/>
        <w:right w:w="108" w:type="dxa"/>
        <w:bottom w:w="0" w:type="dxa"/>
      </w:tblCellMar>
    </w:tbl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style>
  <w:style w:type="character" w:styleId="848" w:customStyle="1">
    <w:name w:val="正文文本 Char"/>
    <w:basedOn w:val="644"/>
    <w:uiPriority w:val="0"/>
    <w:qFormat/>
    <w:rPr>
      <w:rFonts w:ascii="Times New Roman" w:hAnsi="Times New Roman" w:eastAsia="宋体" w:cs="Times New Roman"/>
      <w:sz w:val="24"/>
      <w:szCs w:val="24"/>
    </w:rPr>
  </w:style>
  <w:style w:type="character" w:styleId="849" w:customStyle="1">
    <w:name w:val="正文文本缩进 3 Char"/>
    <w:basedOn w:val="644"/>
    <w:uiPriority w:val="0"/>
    <w:qFormat/>
    <w:rPr>
      <w:rFonts w:ascii="Times New Roman" w:hAnsi="Times New Roman" w:eastAsia="宋体" w:cs="Times New Roman"/>
      <w:sz w:val="16"/>
      <w:szCs w:val="16"/>
    </w:rPr>
  </w:style>
  <w:style w:type="paragraph" w:styleId="850" w:customStyle="1">
    <w:name w:val="正文首行缩进2字符"/>
    <w:basedOn w:val="634"/>
    <w:uiPriority w:val="0"/>
    <w:qFormat/>
    <w:pPr>
      <w:ind w:firstLine="482"/>
    </w:pPr>
    <w:rPr>
      <w:rFonts w:ascii="Times New Roman" w:hAnsi="Times New Roman" w:eastAsia="宋体" w:cs="Times New Roman"/>
    </w:rPr>
  </w:style>
  <w:style w:type="character" w:styleId="851" w:customStyle="1">
    <w:name w:val="current"/>
    <w:basedOn w:val="644"/>
    <w:uiPriority w:val="0"/>
    <w:qFormat/>
    <w:rPr>
      <w:rFonts w:ascii="Times New Roman" w:hAnsi="Times New Roman" w:eastAsia="宋体" w:cs="Times New Roman"/>
      <w:b/>
      <w:bCs/>
      <w:color w:val="05a7d8"/>
      <w:sz w:val="18"/>
      <w:szCs w:val="18"/>
    </w:rPr>
  </w:style>
  <w:style w:type="character" w:styleId="852" w:customStyle="1">
    <w:name w:val="l-btn-left"/>
    <w:basedOn w:val="644"/>
    <w:uiPriority w:val="0"/>
    <w:qFormat/>
    <w:rPr>
      <w:rFonts w:ascii="Times New Roman" w:hAnsi="Times New Roman" w:eastAsia="宋体" w:cs="Times New Roman"/>
    </w:rPr>
  </w:style>
  <w:style w:type="character" w:styleId="853" w:customStyle="1">
    <w:name w:val="l-btn-text36"/>
    <w:basedOn w:val="644"/>
    <w:uiPriority w:val="0"/>
    <w:qFormat/>
    <w:rPr>
      <w:rFonts w:ascii="Times New Roman" w:hAnsi="Times New Roman" w:eastAsia="宋体" w:cs="Times New Roman"/>
    </w:rPr>
  </w:style>
  <w:style w:type="character" w:styleId="854" w:customStyle="1">
    <w:name w:val="l-btn-text"/>
    <w:basedOn w:val="644"/>
    <w:uiPriority w:val="0"/>
    <w:qFormat/>
    <w:rPr>
      <w:rFonts w:ascii="Times New Roman" w:hAnsi="Times New Roman" w:eastAsia="宋体" w:cs="Times New Roman"/>
    </w:rPr>
  </w:style>
  <w:style w:type="character" w:styleId="855" w:customStyle="1">
    <w:name w:val="grame"/>
    <w:basedOn w:val="644"/>
    <w:uiPriority w:val="0"/>
    <w:qFormat/>
    <w:rPr>
      <w:rFonts w:ascii="Times New Roman" w:hAnsi="Times New Roman" w:eastAsia="宋体" w:cs="Times New Roman"/>
    </w:rPr>
  </w:style>
  <w:style w:type="paragraph" w:styleId="856" w:customStyle="1">
    <w:name w:val="标准文本"/>
    <w:basedOn w:val="634"/>
    <w:uiPriority w:val="0"/>
    <w:qFormat/>
    <w:pPr>
      <w:ind w:firstLine="480"/>
      <w:spacing w:line="360" w:lineRule="auto"/>
    </w:pPr>
    <w:rPr>
      <w:rFonts w:ascii="Times New Roman" w:hAnsi="Times New Roman" w:eastAsia="宋体" w:cs="宋体"/>
      <w:szCs w:val="20"/>
    </w:rPr>
  </w:style>
  <w:style w:type="paragraph" w:styleId="857"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character" w:styleId="858" w:customStyle="1">
    <w:name w:val="active16"/>
    <w:basedOn w:val="644"/>
    <w:uiPriority w:val="0"/>
    <w:qFormat/>
    <w:rPr>
      <w:rFonts w:ascii="Times New Roman" w:hAnsi="Times New Roman" w:eastAsia="宋体" w:cs="Times New Roman"/>
      <w:color w:val="ffffff"/>
      <w:shd w:val="clear" w:color="auto" w:fill="0f5bb9"/>
    </w:rPr>
  </w:style>
  <w:style w:type="character" w:styleId="859" w:customStyle="1">
    <w:name w:val="active"/>
    <w:basedOn w:val="644"/>
    <w:uiPriority w:val="0"/>
    <w:qFormat/>
    <w:rPr>
      <w:rFonts w:ascii="Times New Roman" w:hAnsi="Times New Roman" w:eastAsia="宋体" w:cs="Times New Roman"/>
      <w:color w:val="ffffff"/>
      <w:shd w:val="clear" w:color="auto" w:fill="0f5bb9"/>
    </w:rPr>
  </w:style>
  <w:style w:type="numbering" w:styleId="77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晗宇 康</dc:creator>
  <cp:lastModifiedBy>黄雪峰</cp:lastModifiedBy>
  <cp:revision>5</cp:revision>
  <dcterms:created xsi:type="dcterms:W3CDTF">2024-12-04T02:34:00Z</dcterms:created>
  <dcterms:modified xsi:type="dcterms:W3CDTF">2026-01-26T08:40:17Z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D5842E8119994030A7ADEC76B284E349_13</vt:lpwstr>
  </property>
  <property fmtid="{D5CDD505-2E9C-101B-9397-08002B2CF9AE}" pid="4" name="KSOTemplateDocerSaveRecord">
    <vt:lpwstr>eyJoZGlkIjoiNmViMjZmNWMwYzYzNzZjNzMzYmI0M2RmNDc5NWFjODYiLCJ1c2VySWQiOiIxMDQxMjQ2OTExIn0=</vt:lpwstr>
  </property>
</Properties>
</file>